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9E" w:rsidRPr="00AF519E" w:rsidRDefault="00AF519E" w:rsidP="00AF519E">
      <w:pPr>
        <w:jc w:val="center"/>
        <w:rPr>
          <w:b/>
          <w:lang w:eastAsia="ar-SA"/>
        </w:rPr>
      </w:pPr>
      <w:r w:rsidRPr="00AF519E">
        <w:rPr>
          <w:b/>
          <w:lang w:eastAsia="ar-SA"/>
        </w:rPr>
        <w:t xml:space="preserve">ПРИМІТКИ ДО РІЧНОЇ ФІНАНСОВОЇ ЗВІТНОСТІ ПОВНОГО ТОВАРИСТВА </w:t>
      </w:r>
      <w:r w:rsidRPr="00AF519E">
        <w:rPr>
          <w:b/>
          <w:lang w:val="uk-UA"/>
        </w:rPr>
        <w:t>«ЕКОНОМ ЛОМБАРД»  ДОБРОДЬКІН О.М. і КОМПАНІЯ»</w:t>
      </w:r>
      <w:r w:rsidRPr="00AF519E">
        <w:rPr>
          <w:b/>
          <w:lang w:eastAsia="ar-SA"/>
        </w:rPr>
        <w:t>за рік, що закінчився</w:t>
      </w:r>
    </w:p>
    <w:p w:rsidR="00AF519E" w:rsidRPr="00AF519E" w:rsidRDefault="00F97989" w:rsidP="00AF519E">
      <w:pPr>
        <w:jc w:val="center"/>
        <w:rPr>
          <w:b/>
          <w:lang w:eastAsia="ar-SA"/>
        </w:rPr>
      </w:pPr>
      <w:r>
        <w:rPr>
          <w:b/>
          <w:lang w:eastAsia="ar-SA"/>
        </w:rPr>
        <w:t>31 грудня 2021</w:t>
      </w:r>
      <w:r w:rsidR="00AF519E" w:rsidRPr="00AF519E">
        <w:rPr>
          <w:b/>
          <w:lang w:eastAsia="ar-SA"/>
        </w:rPr>
        <w:t xml:space="preserve"> року.</w:t>
      </w:r>
    </w:p>
    <w:p w:rsidR="00420155" w:rsidRPr="00206A8B" w:rsidRDefault="00420155" w:rsidP="00A77736">
      <w:pPr>
        <w:pStyle w:val="ac"/>
        <w:ind w:firstLine="0"/>
      </w:pPr>
      <w:r w:rsidRPr="00206A8B">
        <w:t xml:space="preserve">1. Інформація про </w:t>
      </w:r>
      <w:r w:rsidR="00A77736" w:rsidRPr="00206A8B">
        <w:rPr>
          <w:lang w:val="uk-UA"/>
        </w:rPr>
        <w:t xml:space="preserve">Товариство </w:t>
      </w:r>
      <w:r w:rsidRPr="00206A8B">
        <w:t>та основа підгот</w:t>
      </w:r>
      <w:r w:rsidR="007439D4">
        <w:t>о</w:t>
      </w:r>
      <w:r w:rsidR="00583C96">
        <w:t>вки фінансової звітності за 2021</w:t>
      </w:r>
      <w:r w:rsidRPr="00206A8B">
        <w:t xml:space="preserve"> рік</w:t>
      </w:r>
    </w:p>
    <w:p w:rsidR="00206A8B" w:rsidRDefault="00420155" w:rsidP="00AF519E">
      <w:pPr>
        <w:pStyle w:val="af1"/>
        <w:widowControl w:val="0"/>
        <w:spacing w:before="120" w:after="120"/>
        <w:ind w:firstLine="709"/>
        <w:jc w:val="both"/>
        <w:rPr>
          <w:b w:val="0"/>
          <w:sz w:val="24"/>
          <w:szCs w:val="24"/>
          <w:lang w:val="uk-UA" w:eastAsia="uk-UA"/>
        </w:rPr>
      </w:pPr>
      <w:r w:rsidRPr="00206A8B">
        <w:rPr>
          <w:b w:val="0"/>
          <w:sz w:val="24"/>
          <w:szCs w:val="24"/>
        </w:rPr>
        <w:t xml:space="preserve">ПОВНЕ ТОВАРИСТВО </w:t>
      </w:r>
      <w:r w:rsidRPr="00206A8B">
        <w:rPr>
          <w:b w:val="0"/>
          <w:sz w:val="24"/>
          <w:szCs w:val="24"/>
          <w:lang w:val="uk-UA"/>
        </w:rPr>
        <w:t>«</w:t>
      </w:r>
      <w:r w:rsidR="00ED5FB2" w:rsidRPr="00206A8B">
        <w:rPr>
          <w:b w:val="0"/>
          <w:sz w:val="24"/>
          <w:szCs w:val="24"/>
          <w:lang w:val="uk-UA"/>
        </w:rPr>
        <w:t xml:space="preserve">ЕКОНОМ </w:t>
      </w:r>
      <w:r w:rsidRPr="00206A8B">
        <w:rPr>
          <w:b w:val="0"/>
          <w:sz w:val="24"/>
          <w:szCs w:val="24"/>
        </w:rPr>
        <w:t>ЛОМБАРД</w:t>
      </w:r>
      <w:r w:rsidR="00ED5FB2" w:rsidRPr="00206A8B">
        <w:rPr>
          <w:b w:val="0"/>
          <w:sz w:val="24"/>
          <w:szCs w:val="24"/>
          <w:lang w:val="uk-UA"/>
        </w:rPr>
        <w:t>» ДОБРОДЬКІН О.М. І КОМПАНІЯ»</w:t>
      </w:r>
      <w:r w:rsidR="002845B8" w:rsidRPr="00206A8B">
        <w:rPr>
          <w:b w:val="0"/>
          <w:sz w:val="24"/>
          <w:szCs w:val="24"/>
        </w:rPr>
        <w:t xml:space="preserve"> </w:t>
      </w:r>
      <w:r w:rsidRPr="00206A8B">
        <w:rPr>
          <w:b w:val="0"/>
          <w:sz w:val="24"/>
          <w:szCs w:val="24"/>
          <w:lang w:val="uk-UA" w:eastAsia="uk-UA"/>
        </w:rPr>
        <w:t xml:space="preserve">(надалі – «Товариство») зареєстровано </w:t>
      </w:r>
      <w:r w:rsidR="00ED5FB2" w:rsidRPr="00206A8B">
        <w:rPr>
          <w:b w:val="0"/>
          <w:sz w:val="24"/>
          <w:szCs w:val="24"/>
          <w:lang w:val="uk-UA" w:eastAsia="uk-UA"/>
        </w:rPr>
        <w:t>27.04.2016 року</w:t>
      </w:r>
      <w:r w:rsidRPr="00206A8B">
        <w:rPr>
          <w:b w:val="0"/>
          <w:sz w:val="24"/>
          <w:szCs w:val="24"/>
          <w:lang w:val="uk-UA" w:eastAsia="uk-UA"/>
        </w:rPr>
        <w:t xml:space="preserve">, номер запису в Єдиному державному реєстрі юридичних та фізичних осіб-підприємців – </w:t>
      </w:r>
      <w:r w:rsidR="00ED5FB2" w:rsidRPr="00206A8B">
        <w:rPr>
          <w:b w:val="0"/>
          <w:sz w:val="24"/>
          <w:szCs w:val="24"/>
          <w:lang w:val="uk-UA"/>
        </w:rPr>
        <w:t>12351020000000327</w:t>
      </w:r>
      <w:r w:rsidRPr="00206A8B">
        <w:rPr>
          <w:b w:val="0"/>
          <w:sz w:val="24"/>
          <w:szCs w:val="24"/>
          <w:lang w:val="uk-UA" w:eastAsia="uk-UA"/>
        </w:rPr>
        <w:t>, відповідно до чинного законодавства України.</w:t>
      </w:r>
    </w:p>
    <w:p w:rsidR="00C777B4" w:rsidRDefault="00C777B4" w:rsidP="00AF519E">
      <w:pPr>
        <w:pStyle w:val="af1"/>
        <w:widowControl w:val="0"/>
        <w:spacing w:before="120" w:after="120"/>
        <w:ind w:firstLine="709"/>
        <w:jc w:val="both"/>
        <w:rPr>
          <w:b w:val="0"/>
          <w:sz w:val="24"/>
          <w:szCs w:val="24"/>
          <w:lang w:val="uk-UA" w:eastAsia="uk-UA"/>
        </w:rPr>
      </w:pPr>
      <w:r>
        <w:rPr>
          <w:b w:val="0"/>
          <w:sz w:val="24"/>
          <w:szCs w:val="24"/>
          <w:lang w:val="uk-UA" w:eastAsia="uk-UA"/>
        </w:rPr>
        <w:t>Скорочена назва: ПТ «Економ Ломбард».</w:t>
      </w:r>
    </w:p>
    <w:p w:rsidR="00C777B4" w:rsidRDefault="00420155" w:rsidP="00C777B4">
      <w:pPr>
        <w:pStyle w:val="af1"/>
        <w:widowControl w:val="0"/>
        <w:spacing w:before="120" w:after="120"/>
        <w:ind w:firstLine="709"/>
        <w:jc w:val="both"/>
        <w:rPr>
          <w:b w:val="0"/>
          <w:sz w:val="24"/>
          <w:szCs w:val="24"/>
          <w:lang w:val="uk-UA"/>
        </w:rPr>
      </w:pPr>
      <w:r w:rsidRPr="00206A8B">
        <w:rPr>
          <w:b w:val="0"/>
          <w:sz w:val="24"/>
          <w:szCs w:val="24"/>
          <w:lang w:val="uk-UA" w:eastAsia="uk-UA"/>
        </w:rPr>
        <w:t>Юридична адреса Товариства:</w:t>
      </w:r>
      <w:r w:rsidR="00A92C2E" w:rsidRPr="00206A8B">
        <w:rPr>
          <w:b w:val="0"/>
          <w:sz w:val="24"/>
          <w:szCs w:val="24"/>
          <w:lang w:val="uk-UA" w:eastAsia="uk-UA"/>
        </w:rPr>
        <w:t xml:space="preserve"> </w:t>
      </w:r>
      <w:r w:rsidR="00ED5FB2" w:rsidRPr="00206A8B">
        <w:rPr>
          <w:b w:val="0"/>
          <w:sz w:val="24"/>
          <w:szCs w:val="24"/>
          <w:lang w:val="uk-UA"/>
        </w:rPr>
        <w:t>51500, Дніпропетровська обл., м.</w:t>
      </w:r>
      <w:r w:rsidR="007D04AA">
        <w:rPr>
          <w:b w:val="0"/>
          <w:sz w:val="24"/>
          <w:szCs w:val="24"/>
          <w:lang w:val="uk-UA"/>
        </w:rPr>
        <w:t xml:space="preserve"> </w:t>
      </w:r>
      <w:r w:rsidR="00ED5FB2" w:rsidRPr="00206A8B">
        <w:rPr>
          <w:b w:val="0"/>
          <w:sz w:val="24"/>
          <w:szCs w:val="24"/>
          <w:lang w:val="uk-UA"/>
        </w:rPr>
        <w:t>Тернівка, вулиця Курська, будинок 18/10</w:t>
      </w:r>
      <w:r w:rsidRPr="00206A8B">
        <w:rPr>
          <w:b w:val="0"/>
          <w:sz w:val="24"/>
          <w:szCs w:val="24"/>
          <w:lang w:val="uk-UA"/>
        </w:rPr>
        <w:t>.</w:t>
      </w:r>
    </w:p>
    <w:p w:rsidR="00206A8B" w:rsidRPr="001860CC" w:rsidRDefault="00206A8B" w:rsidP="00206A8B">
      <w:pPr>
        <w:shd w:val="clear" w:color="auto" w:fill="FFFFFF"/>
        <w:autoSpaceDE w:val="0"/>
        <w:autoSpaceDN w:val="0"/>
        <w:adjustRightInd w:val="0"/>
        <w:spacing w:before="120" w:after="120"/>
        <w:ind w:firstLine="708"/>
        <w:jc w:val="both"/>
        <w:rPr>
          <w:b/>
          <w:lang w:val="uk-UA"/>
        </w:rPr>
      </w:pPr>
      <w:r w:rsidRPr="001860CC">
        <w:rPr>
          <w:lang w:val="uk-UA"/>
        </w:rPr>
        <w:t>Сайт</w:t>
      </w:r>
      <w:r>
        <w:rPr>
          <w:lang w:val="uk-UA"/>
        </w:rPr>
        <w:t>:</w:t>
      </w:r>
      <w:r w:rsidRPr="001860CC">
        <w:rPr>
          <w:lang w:val="uk-UA"/>
        </w:rPr>
        <w:t xml:space="preserve">   </w:t>
      </w:r>
      <w:r w:rsidRPr="00206A8B">
        <w:rPr>
          <w:lang w:val="uk-UA"/>
        </w:rPr>
        <w:t>econom-ua.lombards.biz</w:t>
      </w:r>
      <w:r w:rsidR="007D04AA">
        <w:rPr>
          <w:lang w:val="uk-UA"/>
        </w:rPr>
        <w:t>.</w:t>
      </w:r>
    </w:p>
    <w:p w:rsidR="00420155" w:rsidRDefault="00420155" w:rsidP="00AF519E">
      <w:pPr>
        <w:suppressAutoHyphens w:val="0"/>
        <w:spacing w:before="120" w:after="120"/>
        <w:ind w:firstLine="709"/>
        <w:jc w:val="both"/>
        <w:rPr>
          <w:lang w:val="uk-UA"/>
        </w:rPr>
      </w:pPr>
      <w:r w:rsidRPr="00206A8B">
        <w:rPr>
          <w:lang w:val="uk-UA"/>
        </w:rPr>
        <w:t xml:space="preserve">Організаційно-правова форма за класифікацією організаційно-правових форм господарювання – </w:t>
      </w:r>
      <w:r w:rsidR="003F7FF7" w:rsidRPr="00206A8B">
        <w:rPr>
          <w:lang w:val="uk-UA"/>
        </w:rPr>
        <w:t>П</w:t>
      </w:r>
      <w:r w:rsidRPr="00206A8B">
        <w:rPr>
          <w:lang w:val="uk-UA"/>
        </w:rPr>
        <w:t xml:space="preserve">овне </w:t>
      </w:r>
      <w:r w:rsidR="003F7FF7" w:rsidRPr="00206A8B">
        <w:rPr>
          <w:lang w:val="uk-UA"/>
        </w:rPr>
        <w:t>Т</w:t>
      </w:r>
      <w:r w:rsidRPr="00206A8B">
        <w:rPr>
          <w:lang w:val="uk-UA"/>
        </w:rPr>
        <w:t xml:space="preserve">овариство. </w:t>
      </w:r>
    </w:p>
    <w:p w:rsidR="00206A8B" w:rsidRPr="002E7B8D" w:rsidRDefault="002E7B8D" w:rsidP="002E7B8D">
      <w:pPr>
        <w:shd w:val="clear" w:color="auto" w:fill="FFFFFF"/>
        <w:autoSpaceDE w:val="0"/>
        <w:autoSpaceDN w:val="0"/>
        <w:adjustRightInd w:val="0"/>
        <w:spacing w:before="120" w:after="120" w:line="264" w:lineRule="auto"/>
        <w:ind w:firstLine="624"/>
        <w:jc w:val="both"/>
        <w:rPr>
          <w:lang w:val="uk-UA"/>
        </w:rPr>
      </w:pPr>
      <w:r>
        <w:rPr>
          <w:lang w:val="uk-UA"/>
        </w:rPr>
        <w:t>Відповідно до Засновницького договору, ч</w:t>
      </w:r>
      <w:r w:rsidR="00206A8B" w:rsidRPr="002E7B8D">
        <w:rPr>
          <w:lang w:val="uk-UA"/>
        </w:rPr>
        <w:t xml:space="preserve">астки складеного капіталу Товариства розподіляються між учасниками наступним чином: </w:t>
      </w:r>
    </w:p>
    <w:p w:rsidR="00206A8B" w:rsidRPr="002E7B8D" w:rsidRDefault="00206A8B" w:rsidP="00206A8B">
      <w:pPr>
        <w:pStyle w:val="af8"/>
        <w:tabs>
          <w:tab w:val="left" w:pos="142"/>
        </w:tabs>
        <w:spacing w:before="120" w:after="120"/>
        <w:ind w:left="567"/>
        <w:jc w:val="both"/>
        <w:rPr>
          <w:rFonts w:ascii="Times New Roman" w:hAnsi="Times New Roman"/>
          <w:sz w:val="24"/>
          <w:szCs w:val="24"/>
        </w:rPr>
      </w:pPr>
      <w:r w:rsidRPr="002E7B8D">
        <w:rPr>
          <w:rFonts w:ascii="Times New Roman" w:hAnsi="Times New Roman"/>
          <w:sz w:val="24"/>
          <w:szCs w:val="24"/>
        </w:rPr>
        <w:t>- Фізична особа – підприємець Добродькін Олексій Михайлович – 900 000 грн., що становить 60 % складеного капіталу;</w:t>
      </w:r>
    </w:p>
    <w:p w:rsidR="00206A8B" w:rsidRPr="002E7B8D" w:rsidRDefault="00206A8B" w:rsidP="00206A8B">
      <w:pPr>
        <w:pStyle w:val="af8"/>
        <w:tabs>
          <w:tab w:val="left" w:pos="1800"/>
        </w:tabs>
        <w:spacing w:before="120" w:after="120"/>
        <w:ind w:left="567" w:hanging="425"/>
        <w:jc w:val="both"/>
        <w:rPr>
          <w:rFonts w:ascii="Times New Roman" w:hAnsi="Times New Roman"/>
          <w:sz w:val="24"/>
          <w:szCs w:val="24"/>
        </w:rPr>
      </w:pPr>
      <w:r w:rsidRPr="002E7B8D">
        <w:rPr>
          <w:rFonts w:ascii="Times New Roman" w:hAnsi="Times New Roman"/>
          <w:sz w:val="24"/>
          <w:szCs w:val="24"/>
        </w:rPr>
        <w:t xml:space="preserve">       -  Фізична особа – підприємець Добродькіна Ганна Вікторівна  – 600 000 грн., що становить 40 % складеного капіталу.</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Цілями діяльності Товариства є організація підприємницької діяльності, прийняття участі у формуванні та функціонуванні ринку фінансових послуг, задоволення потреб суспільства у матеріальних та нематеріальних благах,</w:t>
      </w:r>
      <w:r w:rsidR="00A92C2E" w:rsidRPr="00206A8B">
        <w:rPr>
          <w:sz w:val="24"/>
          <w:szCs w:val="24"/>
          <w:lang w:eastAsia="uk-UA"/>
        </w:rPr>
        <w:t xml:space="preserve"> </w:t>
      </w:r>
      <w:r w:rsidRPr="00206A8B">
        <w:rPr>
          <w:sz w:val="24"/>
          <w:szCs w:val="24"/>
          <w:lang w:eastAsia="uk-UA"/>
        </w:rPr>
        <w:t>отримання прибутку шляхом здійснення дозволених відповідним чинним законодавством</w:t>
      </w:r>
      <w:r w:rsidR="00A92C2E" w:rsidRPr="00206A8B">
        <w:rPr>
          <w:sz w:val="24"/>
          <w:szCs w:val="24"/>
          <w:lang w:eastAsia="uk-UA"/>
        </w:rPr>
        <w:t xml:space="preserve"> </w:t>
      </w:r>
      <w:r w:rsidRPr="00206A8B">
        <w:rPr>
          <w:sz w:val="24"/>
          <w:szCs w:val="24"/>
          <w:lang w:eastAsia="uk-UA"/>
        </w:rPr>
        <w:t>України видів послуг, ломбардної діяльності.</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Предметом діяльності Товариства є: здійснення виключного виду діяльності ломбарду з метою одержання прибутку шляхом надання на власний ризик фінансових кредитів фізичним особам за рахунок власних коштів, під заставу майна на визначений строк і під процент та н</w:t>
      </w:r>
      <w:r w:rsidR="00357C84" w:rsidRPr="00206A8B">
        <w:rPr>
          <w:sz w:val="24"/>
          <w:szCs w:val="24"/>
          <w:lang w:eastAsia="uk-UA"/>
        </w:rPr>
        <w:t>адання супутніх послуг ломбарду на ліцензійних умовах.</w:t>
      </w:r>
    </w:p>
    <w:p w:rsidR="008A7CE2" w:rsidRPr="00206A8B" w:rsidRDefault="00835383" w:rsidP="00AF519E">
      <w:pPr>
        <w:pStyle w:val="ab"/>
        <w:spacing w:before="120" w:after="120"/>
        <w:ind w:firstLine="709"/>
        <w:rPr>
          <w:sz w:val="24"/>
          <w:szCs w:val="24"/>
          <w:lang w:eastAsia="uk-UA"/>
        </w:rPr>
      </w:pPr>
      <w:r w:rsidRPr="00206A8B">
        <w:rPr>
          <w:sz w:val="24"/>
          <w:szCs w:val="24"/>
          <w:lang w:eastAsia="uk-UA"/>
        </w:rPr>
        <w:t xml:space="preserve">Для здійснення підприємницької діяльності Товариство </w:t>
      </w:r>
      <w:r w:rsidR="003B1CC0" w:rsidRPr="00206A8B">
        <w:rPr>
          <w:sz w:val="24"/>
          <w:szCs w:val="24"/>
          <w:lang w:eastAsia="uk-UA"/>
        </w:rPr>
        <w:t>отримало</w:t>
      </w:r>
      <w:r w:rsidRPr="00206A8B">
        <w:rPr>
          <w:sz w:val="24"/>
          <w:szCs w:val="24"/>
          <w:lang w:eastAsia="uk-UA"/>
        </w:rPr>
        <w:t xml:space="preserve"> </w:t>
      </w:r>
      <w:r w:rsidR="00357C84" w:rsidRPr="00206A8B">
        <w:rPr>
          <w:sz w:val="24"/>
          <w:szCs w:val="24"/>
          <w:lang w:eastAsia="uk-UA"/>
        </w:rPr>
        <w:t>Ліцензі</w:t>
      </w:r>
      <w:r w:rsidRPr="00206A8B">
        <w:rPr>
          <w:sz w:val="24"/>
          <w:szCs w:val="24"/>
          <w:lang w:eastAsia="uk-UA"/>
        </w:rPr>
        <w:t>ю</w:t>
      </w:r>
      <w:r w:rsidR="00357C84" w:rsidRPr="00206A8B">
        <w:rPr>
          <w:sz w:val="24"/>
          <w:szCs w:val="24"/>
          <w:lang w:eastAsia="uk-UA"/>
        </w:rPr>
        <w:t xml:space="preserve"> </w:t>
      </w:r>
      <w:r w:rsidR="008A7CE2" w:rsidRPr="00206A8B">
        <w:rPr>
          <w:sz w:val="24"/>
          <w:szCs w:val="24"/>
          <w:lang w:eastAsia="uk-UA"/>
        </w:rPr>
        <w:t>на провадження господарської діяльності з надання фінансових послуг, а саме на надання коштів у позику, в тому числі на умо</w:t>
      </w:r>
      <w:r w:rsidR="003B1CC0" w:rsidRPr="00206A8B">
        <w:rPr>
          <w:sz w:val="24"/>
          <w:szCs w:val="24"/>
          <w:lang w:eastAsia="uk-UA"/>
        </w:rPr>
        <w:t>вах фінансового кредиту, видану</w:t>
      </w:r>
      <w:r w:rsidR="008A7CE2" w:rsidRPr="00206A8B">
        <w:rPr>
          <w:sz w:val="24"/>
          <w:szCs w:val="24"/>
          <w:lang w:eastAsia="uk-UA"/>
        </w:rPr>
        <w:t xml:space="preserve"> Розпорядженням  Нацкомфінпослуг №2723 від 20.06.2017року.</w:t>
      </w:r>
    </w:p>
    <w:p w:rsidR="00420155" w:rsidRPr="00206A8B" w:rsidRDefault="00357C84" w:rsidP="00616C7B">
      <w:pPr>
        <w:pStyle w:val="ab"/>
        <w:ind w:firstLine="709"/>
        <w:rPr>
          <w:sz w:val="24"/>
          <w:szCs w:val="24"/>
          <w:lang w:eastAsia="uk-UA"/>
        </w:rPr>
      </w:pPr>
      <w:r w:rsidRPr="00206A8B">
        <w:rPr>
          <w:sz w:val="24"/>
          <w:szCs w:val="24"/>
          <w:lang w:eastAsia="uk-UA"/>
        </w:rPr>
        <w:t xml:space="preserve"> </w:t>
      </w:r>
      <w:r w:rsidR="00420155" w:rsidRPr="00206A8B">
        <w:rPr>
          <w:sz w:val="24"/>
          <w:szCs w:val="24"/>
          <w:lang w:eastAsia="uk-UA"/>
        </w:rPr>
        <w:t>Фінансові послуги ломбарду:</w:t>
      </w:r>
    </w:p>
    <w:p w:rsidR="00420155" w:rsidRPr="00206A8B" w:rsidRDefault="00420155" w:rsidP="00616C7B">
      <w:pPr>
        <w:pStyle w:val="ab"/>
        <w:numPr>
          <w:ilvl w:val="0"/>
          <w:numId w:val="19"/>
        </w:numPr>
        <w:ind w:left="0" w:firstLine="709"/>
        <w:rPr>
          <w:sz w:val="24"/>
          <w:szCs w:val="24"/>
          <w:lang w:eastAsia="uk-UA"/>
        </w:rPr>
      </w:pPr>
      <w:r w:rsidRPr="00206A8B">
        <w:rPr>
          <w:sz w:val="24"/>
          <w:szCs w:val="24"/>
          <w:lang w:eastAsia="uk-UA"/>
        </w:rPr>
        <w:t>надання фінансових кредитів за рахунок власних коштів;</w:t>
      </w:r>
    </w:p>
    <w:p w:rsidR="00FA4003" w:rsidRPr="00FA4003" w:rsidRDefault="00FA4003" w:rsidP="00616C7B">
      <w:pPr>
        <w:shd w:val="clear" w:color="auto" w:fill="FFFFFF"/>
        <w:autoSpaceDE w:val="0"/>
        <w:autoSpaceDN w:val="0"/>
        <w:adjustRightInd w:val="0"/>
        <w:spacing w:line="264" w:lineRule="auto"/>
        <w:ind w:firstLine="708"/>
        <w:jc w:val="both"/>
      </w:pPr>
      <w:r w:rsidRPr="00FA4003">
        <w:t>Станом</w:t>
      </w:r>
      <w:r w:rsidR="00F97989">
        <w:t xml:space="preserve"> на 31.12.2021 р. Ломбард має 22</w:t>
      </w:r>
      <w:r w:rsidRPr="00FA4003">
        <w:t xml:space="preserve"> відокремлених підрозділів.</w:t>
      </w:r>
    </w:p>
    <w:p w:rsidR="00FA4003" w:rsidRDefault="00FA4003" w:rsidP="00FA4003">
      <w:pPr>
        <w:shd w:val="clear" w:color="auto" w:fill="FFFFFF"/>
        <w:autoSpaceDE w:val="0"/>
        <w:autoSpaceDN w:val="0"/>
        <w:adjustRightInd w:val="0"/>
        <w:spacing w:before="120" w:after="120" w:line="264" w:lineRule="auto"/>
        <w:ind w:firstLine="708"/>
        <w:jc w:val="both"/>
      </w:pPr>
      <w:r w:rsidRPr="00FA4003">
        <w:t>Середня кількі</w:t>
      </w:r>
      <w:r w:rsidR="00583C96">
        <w:t>сть працівників Ломбарду за 2021</w:t>
      </w:r>
      <w:r w:rsidRPr="00FA4003">
        <w:t xml:space="preserve"> рік </w:t>
      </w:r>
      <w:r>
        <w:t>по штатному ро</w:t>
      </w:r>
      <w:r w:rsidR="00F97989">
        <w:t>зкладу складає 33</w:t>
      </w:r>
      <w:r>
        <w:t xml:space="preserve"> особ</w:t>
      </w:r>
      <w:r w:rsidR="00C777B4">
        <w:rPr>
          <w:lang w:val="uk-UA"/>
        </w:rPr>
        <w:t>и</w:t>
      </w:r>
      <w:r w:rsidRPr="00FA4003">
        <w:t>.</w:t>
      </w:r>
    </w:p>
    <w:p w:rsidR="00763AB5" w:rsidRPr="0090076B" w:rsidRDefault="0090076B" w:rsidP="00FA4003">
      <w:pPr>
        <w:shd w:val="clear" w:color="auto" w:fill="FFFFFF"/>
        <w:autoSpaceDE w:val="0"/>
        <w:autoSpaceDN w:val="0"/>
        <w:adjustRightInd w:val="0"/>
        <w:spacing w:before="120" w:after="120" w:line="264" w:lineRule="auto"/>
        <w:ind w:firstLine="708"/>
        <w:jc w:val="both"/>
        <w:rPr>
          <w:lang w:val="uk-UA"/>
        </w:rPr>
      </w:pPr>
      <w:r>
        <w:rPr>
          <w:lang w:val="uk-UA"/>
        </w:rPr>
        <w:t>Інформація щодо Відокремлених Підрозділів Товариства: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4308"/>
        <w:gridCol w:w="4659"/>
      </w:tblGrid>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№2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51500, Дніпропетровська обл., місто Тернівка, ВУЛИЦЯ ХАРКІВСЬКА,28</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№3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51500, Дніпропетровська обл., місто Тернівка, ВУЛИЦЯ ПУШКІНА, будинок 1А</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lastRenderedPageBreak/>
              <w:t>3</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№4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51400, Дніпропетровська обл., місто Павлоград, ПРОСПЕКТ ШАХТОБУДІВНИКІВ , будинок 3-Б</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4</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№6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51700, Дніпропетровська обл., місто Вільногірськ, ВУЛИЦЯ ЛЕНІНА, будинок 65</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5</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№5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51400, Дніпропетровська обл., місто Павлоград, ВУЛИЦЯ ВЕРСТАТОБУДІВНИКІВ, будинок 8 В</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6</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№7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51500, Дніпропетровська обл., місто Тернівка, ВУЛИЦЯ КУРСЬКА, будинок 22/11</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7</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№8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52800, Дніпропетровська обл., місто Першотравенськ, ВУЛИЦЯ ПУШКІНА, будинок 6</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8</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 10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52800, Дніпропетровська обл., місто Першотравенськ, ВУЛИЦЯ ШКІЛЬНА, будинок 27/3</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9</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 9 Повного Товариство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51400, Дніпропетровська обл., місто Павлоград, ВУЛИЦЯ ЦЕНРАЛЬНА, будинок 96/1-22</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10</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 11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52500, Дніпропетровська обл., місто Синельникове, ВУЛИЦЯ МИРУ, будинок 26</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№12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64604, Харківська обл., місто Лозова, МІКРОРАЙОН 1, будинок 23, нежиле приміщення 11</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№13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51400, Дніпропетровська обл., місто Павлоград, ВУЛИЦЯ ВАТОЛІНОЇ, будинок 9</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13</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№14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51700, Дніпропетровська обл., місто Вільногірськ, ВУЛИЦЯ ЛЕНІНА, будинок 24, приміщення 19</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14</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№15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52803, Дніпропетровська обл., місто Першотравенськ, ВУЛИЦЯ ГОРЬКОГО, будинок 4-В</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15</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№16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52520, Дніпропетровська обл., Синельниківський р-н, селище міського типу Іларіонове, ВУЛИЦЯ РОБОЧА, будинок 13</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16</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№17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52500, Дніпропетровська обл., місто Синельникове, ВУЛИЦЯ САДОВА, будинок 7</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17</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№18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52500, Дніпропетровська обл., місто Синельникове, ВУЛИЦЯ МИРУ, будинок 1А</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18</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№19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64602, Харківська обл., місто Лозова, ВУЛИЦЯ БЛАГОВІЩЕНСЬКА, будинок 8/5</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19</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№20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51400, Дніпропетровська обл., Павлоградський р-н, місто Павлоград, вул.Центральна, будинок 41, квартира 19</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lastRenderedPageBreak/>
              <w:t>20</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№21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85110, Донецька обл., Краматорський р-н, місто Костянтинівка, вул.Ціолковського, будинок 33В</w:t>
            </w:r>
          </w:p>
        </w:tc>
      </w:tr>
      <w:tr w:rsidR="0090076B" w:rsidRPr="00AB252C" w:rsidTr="00652704">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21</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№22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85113, Донецька обл., Краматорський р-н, місто Костянтинівка, вул.Громова, будинок 16</w:t>
            </w:r>
          </w:p>
        </w:tc>
      </w:tr>
      <w:tr w:rsidR="0090076B" w:rsidRPr="00AB252C" w:rsidTr="005461F2">
        <w:trPr>
          <w:trHeight w:val="441"/>
        </w:trPr>
        <w:tc>
          <w:tcPr>
            <w:tcW w:w="583" w:type="dxa"/>
            <w:tcBorders>
              <w:right w:val="single" w:sz="4" w:space="0" w:color="auto"/>
            </w:tcBorders>
            <w:shd w:val="clear" w:color="auto" w:fill="auto"/>
          </w:tcPr>
          <w:p w:rsidR="0090076B" w:rsidRPr="00AB252C" w:rsidRDefault="0090076B" w:rsidP="00652704">
            <w:pPr>
              <w:rPr>
                <w:lang w:val="uk-UA"/>
              </w:rPr>
            </w:pPr>
            <w:r w:rsidRPr="00AB252C">
              <w:rPr>
                <w:lang w:val="uk-UA"/>
              </w:rPr>
              <w:t>22</w:t>
            </w: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Відокремлений Підрозділ №23 Повного Товариства "Економ Ломбард" Добродькін О.М. І Компанія"</w:t>
            </w:r>
          </w:p>
        </w:tc>
        <w:tc>
          <w:tcPr>
            <w:tcW w:w="2552" w:type="dxa"/>
            <w:tcBorders>
              <w:top w:val="single" w:sz="4" w:space="0" w:color="auto"/>
              <w:left w:val="nil"/>
              <w:bottom w:val="single" w:sz="4" w:space="0" w:color="auto"/>
              <w:right w:val="single" w:sz="4" w:space="0" w:color="auto"/>
            </w:tcBorders>
            <w:shd w:val="clear" w:color="auto" w:fill="auto"/>
          </w:tcPr>
          <w:p w:rsidR="0090076B" w:rsidRPr="00AB252C" w:rsidRDefault="0090076B" w:rsidP="00652704">
            <w:pPr>
              <w:rPr>
                <w:color w:val="000000"/>
              </w:rPr>
            </w:pPr>
            <w:r w:rsidRPr="00AB252C">
              <w:rPr>
                <w:color w:val="000000"/>
              </w:rPr>
              <w:t>53408, Дніпропетровська обл., Нікопольський р-н, місто Марганець, вул.Лермонтова, будинок 23</w:t>
            </w:r>
          </w:p>
        </w:tc>
      </w:tr>
    </w:tbl>
    <w:p w:rsidR="0090076B" w:rsidRPr="0090076B" w:rsidRDefault="00C777B4" w:rsidP="00FA4003">
      <w:pPr>
        <w:shd w:val="clear" w:color="auto" w:fill="FFFFFF"/>
        <w:autoSpaceDE w:val="0"/>
        <w:autoSpaceDN w:val="0"/>
        <w:adjustRightInd w:val="0"/>
        <w:spacing w:before="120" w:after="120" w:line="264" w:lineRule="auto"/>
        <w:ind w:firstLine="708"/>
        <w:jc w:val="both"/>
        <w:rPr>
          <w:lang w:val="uk-UA"/>
        </w:rPr>
      </w:pPr>
      <w:r>
        <w:rPr>
          <w:lang w:val="uk-UA"/>
        </w:rPr>
        <w:t>Змін щодо власників/учасників, кінцевих бенефіціарних власників не було, материнсь</w:t>
      </w:r>
      <w:r w:rsidR="00DE1F18">
        <w:rPr>
          <w:lang w:val="uk-UA"/>
        </w:rPr>
        <w:t>кого та дочірнього підприємства</w:t>
      </w:r>
      <w:r>
        <w:rPr>
          <w:lang w:val="uk-UA"/>
        </w:rPr>
        <w:t xml:space="preserve"> Товариство також не має.</w:t>
      </w:r>
    </w:p>
    <w:p w:rsidR="00A77736" w:rsidRPr="00AE2775" w:rsidRDefault="00A77736" w:rsidP="00A77736">
      <w:pPr>
        <w:spacing w:before="120" w:after="120"/>
        <w:rPr>
          <w:b/>
          <w:smallCaps/>
          <w:lang w:val="uk-UA"/>
        </w:rPr>
      </w:pPr>
      <w:r w:rsidRPr="00AE2775">
        <w:rPr>
          <w:b/>
          <w:smallCaps/>
          <w:lang w:val="uk-UA"/>
        </w:rPr>
        <w:t>2. Умови функціонування, ризики та економічна ситуація в Україні</w:t>
      </w:r>
    </w:p>
    <w:p w:rsidR="00096C7A" w:rsidRDefault="00932899" w:rsidP="00932899">
      <w:pPr>
        <w:spacing w:before="120" w:after="120"/>
        <w:ind w:firstLine="708"/>
        <w:jc w:val="both"/>
        <w:rPr>
          <w:lang w:val="uk-UA"/>
        </w:rPr>
      </w:pPr>
      <w:r w:rsidRPr="00655F9A">
        <w:rPr>
          <w:lang w:val="uk-UA"/>
        </w:rPr>
        <w:t xml:space="preserve">Макроекономічна ситуація в Україні залишалась досить сприятливою протягом </w:t>
      </w:r>
      <w:r w:rsidR="00BA336F">
        <w:rPr>
          <w:lang w:val="uk-UA"/>
        </w:rPr>
        <w:t>2021</w:t>
      </w:r>
      <w:r w:rsidRPr="00655F9A">
        <w:rPr>
          <w:lang w:val="uk-UA"/>
        </w:rPr>
        <w:t xml:space="preserve"> року, </w:t>
      </w:r>
      <w:r w:rsidR="00BA336F">
        <w:rPr>
          <w:lang w:val="uk-UA"/>
        </w:rPr>
        <w:t xml:space="preserve">попри те, що </w:t>
      </w:r>
      <w:r w:rsidR="00583C96">
        <w:rPr>
          <w:lang w:val="uk-UA"/>
        </w:rPr>
        <w:t>в кінці першого кварталу 2020</w:t>
      </w:r>
      <w:r w:rsidRPr="00655F9A">
        <w:rPr>
          <w:lang w:val="uk-UA"/>
        </w:rPr>
        <w:t xml:space="preserve"> року ситуація змінилась досить кардинальн</w:t>
      </w:r>
      <w:r w:rsidR="00BA336F">
        <w:rPr>
          <w:lang w:val="uk-UA"/>
        </w:rPr>
        <w:t>о у зв’</w:t>
      </w:r>
      <w:r w:rsidR="00BA336F" w:rsidRPr="00BA336F">
        <w:rPr>
          <w:lang w:val="uk-UA"/>
        </w:rPr>
        <w:t>язку з тим що</w:t>
      </w:r>
      <w:r w:rsidR="00BA336F">
        <w:rPr>
          <w:lang w:val="uk-UA"/>
        </w:rPr>
        <w:t xml:space="preserve"> о</w:t>
      </w:r>
      <w:r w:rsidRPr="00655F9A">
        <w:rPr>
          <w:lang w:val="uk-UA"/>
        </w:rPr>
        <w:t>бмеження ділової активності, що були застосовані у межах боротьби із пандемією COVID-19 та карантин, суттєво затримали розвиток української економіки та привели до спаду на рівні 4,4 % ВВП та прискоренню ін</w:t>
      </w:r>
      <w:r w:rsidR="00583C96">
        <w:rPr>
          <w:lang w:val="uk-UA"/>
        </w:rPr>
        <w:t>фляції до 5 % за підсумками 2020</w:t>
      </w:r>
      <w:r w:rsidRPr="00655F9A">
        <w:rPr>
          <w:lang w:val="uk-UA"/>
        </w:rPr>
        <w:t xml:space="preserve"> року.</w:t>
      </w:r>
      <w:r w:rsidR="009F2460">
        <w:rPr>
          <w:lang w:val="uk-UA"/>
        </w:rPr>
        <w:t xml:space="preserve"> </w:t>
      </w:r>
    </w:p>
    <w:p w:rsidR="00BA336F" w:rsidRPr="00BA336F" w:rsidRDefault="00BA336F" w:rsidP="00932899">
      <w:pPr>
        <w:spacing w:before="120" w:after="120"/>
        <w:ind w:firstLine="708"/>
        <w:jc w:val="both"/>
        <w:rPr>
          <w:color w:val="FF0000"/>
          <w:lang w:val="uk-UA"/>
        </w:rPr>
      </w:pPr>
      <w:r>
        <w:rPr>
          <w:lang w:val="uk-UA"/>
        </w:rPr>
        <w:t xml:space="preserve">Але починаючі з 2021 року, ситуація в країні покращала, </w:t>
      </w:r>
      <w:r w:rsidRPr="00BA336F">
        <w:rPr>
          <w:bCs/>
          <w:color w:val="202124"/>
          <w:shd w:val="clear" w:color="auto" w:fill="FFFFFF"/>
        </w:rPr>
        <w:t>обсяг ВВП України за підсумками року становив 4194 млрд.</w:t>
      </w:r>
      <w:r w:rsidRPr="00BA336F">
        <w:rPr>
          <w:color w:val="202124"/>
          <w:shd w:val="clear" w:color="auto" w:fill="FFFFFF"/>
        </w:rPr>
        <w:t> </w:t>
      </w:r>
      <w:r w:rsidRPr="00BA336F">
        <w:rPr>
          <w:bCs/>
          <w:color w:val="202124"/>
          <w:shd w:val="clear" w:color="auto" w:fill="FFFFFF"/>
        </w:rPr>
        <w:t>грн</w:t>
      </w:r>
      <w:r w:rsidRPr="00BA336F">
        <w:rPr>
          <w:color w:val="202124"/>
          <w:shd w:val="clear" w:color="auto" w:fill="FFFFFF"/>
        </w:rPr>
        <w:t>. Це означає, що за скорочення реального ВВП на 4% номінальний ВВП (тобто грошовий обсяг економіки) зріс на 5,4% через інфляційні процеси (зростання індексу-дефлятора становило 9,8%).</w:t>
      </w:r>
      <w:r w:rsidRPr="00BA336F">
        <w:rPr>
          <w:lang w:val="uk-UA"/>
        </w:rPr>
        <w:t xml:space="preserve"> </w:t>
      </w:r>
    </w:p>
    <w:p w:rsidR="00932899" w:rsidRPr="00655F9A" w:rsidRDefault="00932899" w:rsidP="00932899">
      <w:pPr>
        <w:spacing w:before="120" w:after="120"/>
        <w:ind w:firstLine="708"/>
        <w:jc w:val="both"/>
        <w:rPr>
          <w:lang w:val="uk-UA"/>
        </w:rPr>
      </w:pPr>
      <w:r w:rsidRPr="00655F9A">
        <w:rPr>
          <w:lang w:val="uk-UA"/>
        </w:rPr>
        <w:t xml:space="preserve">Заходи, які вживають багато країн та Україна для стримування поширення COVID-19, призводять до значних операційних складнощів для багатьох компаній і завдають істотного впливу на світові фінансові ринки. </w:t>
      </w:r>
      <w:r w:rsidR="00BA336F">
        <w:rPr>
          <w:lang w:val="uk-UA"/>
        </w:rPr>
        <w:t>Але о</w:t>
      </w:r>
      <w:r w:rsidRPr="00655F9A">
        <w:rPr>
          <w:lang w:val="uk-UA"/>
        </w:rPr>
        <w:t>скільки ситуація</w:t>
      </w:r>
      <w:r w:rsidR="00492B92">
        <w:rPr>
          <w:lang w:val="uk-UA"/>
        </w:rPr>
        <w:t xml:space="preserve"> з </w:t>
      </w:r>
      <w:r w:rsidR="00492B92" w:rsidRPr="00655F9A">
        <w:rPr>
          <w:lang w:val="uk-UA"/>
        </w:rPr>
        <w:t xml:space="preserve">COVID-19 </w:t>
      </w:r>
      <w:r w:rsidRPr="00655F9A">
        <w:rPr>
          <w:lang w:val="uk-UA"/>
        </w:rPr>
        <w:t xml:space="preserve"> </w:t>
      </w:r>
      <w:r w:rsidR="00BA336F">
        <w:rPr>
          <w:lang w:val="uk-UA"/>
        </w:rPr>
        <w:t xml:space="preserve">стабілізувалася, </w:t>
      </w:r>
      <w:r w:rsidR="00492B92">
        <w:rPr>
          <w:lang w:val="uk-UA"/>
        </w:rPr>
        <w:t>суттєвість впливу</w:t>
      </w:r>
      <w:r w:rsidRPr="00655F9A">
        <w:rPr>
          <w:lang w:val="uk-UA"/>
        </w:rPr>
        <w:t xml:space="preserve"> COVID-19 </w:t>
      </w:r>
      <w:r w:rsidR="00492B92">
        <w:rPr>
          <w:lang w:val="uk-UA"/>
        </w:rPr>
        <w:t>стала</w:t>
      </w:r>
      <w:r w:rsidRPr="00655F9A">
        <w:rPr>
          <w:lang w:val="uk-UA"/>
        </w:rPr>
        <w:t xml:space="preserve"> </w:t>
      </w:r>
      <w:r w:rsidR="00492B92">
        <w:rPr>
          <w:lang w:val="uk-UA"/>
        </w:rPr>
        <w:t>менш несприятливою</w:t>
      </w:r>
      <w:r w:rsidRPr="00655F9A">
        <w:rPr>
          <w:lang w:val="uk-UA"/>
        </w:rPr>
        <w:t xml:space="preserve"> на діяльність багатьох компаній у різних секторах економіки</w:t>
      </w:r>
      <w:r w:rsidR="00492B92">
        <w:rPr>
          <w:lang w:val="uk-UA"/>
        </w:rPr>
        <w:t xml:space="preserve"> у 2021 році.</w:t>
      </w:r>
      <w:r w:rsidRPr="00655F9A">
        <w:rPr>
          <w:lang w:val="uk-UA"/>
        </w:rPr>
        <w:t xml:space="preserve"> Істотність впливу COVID-19 на операційну діяльність Товариства великою мірою залежить від тривалості та поширення впливу вірусу на світову та українську економіку. Суттєвих змін щодо загальної стратегії Товариства у зв’язку з умовами ведення бізнесу в умовах карантину не відбулося. Безпосередні наслідки поширення коронавірусу COVID-19 вплинули на фізичні канали стосунків, а саме Товариством введено тимчасові обмеження на допустиму кількість одночасного перебування клієнтів в приміщені відділень та вжито заходів, щодо постійної дезінфекції відділень.</w:t>
      </w:r>
    </w:p>
    <w:p w:rsidR="00932899" w:rsidRDefault="00932899" w:rsidP="00932899">
      <w:pPr>
        <w:spacing w:before="120" w:after="120"/>
        <w:ind w:firstLine="708"/>
        <w:jc w:val="both"/>
        <w:rPr>
          <w:lang w:val="uk-UA"/>
        </w:rPr>
      </w:pPr>
      <w:r w:rsidRPr="00655F9A">
        <w:rPr>
          <w:lang w:val="uk-UA"/>
        </w:rPr>
        <w:t>В подальшому, найбільший вплив на Товариство може мати невизначеність, результат якої залежить від майбутніх подій, що не є під безпосереднім контролем Товариства, але які можуть впливати на його фінансові звіти в майбутньому. При цьому, Товариство має значний запас ліквідності та капіталу для забезпечення своєчасного розрахунку за всіма зобов’язаннями.</w:t>
      </w:r>
    </w:p>
    <w:p w:rsidR="00DE1F18" w:rsidRPr="002F7799" w:rsidRDefault="00DE1F18" w:rsidP="00DE1F18">
      <w:pPr>
        <w:widowControl/>
        <w:shd w:val="clear" w:color="auto" w:fill="FFFFFF"/>
        <w:suppressAutoHyphens w:val="0"/>
        <w:spacing w:before="280" w:after="280"/>
        <w:ind w:firstLine="567"/>
        <w:jc w:val="both"/>
        <w:rPr>
          <w:lang w:val="uk-UA"/>
        </w:rPr>
      </w:pPr>
      <w:r w:rsidRPr="002F7799">
        <w:rPr>
          <w:lang w:val="uk-UA"/>
        </w:rPr>
        <w:t>Станом на дату затвердження фінансової звітності, відбулися події після дати балансу, а саме, початок бойових дій на території України та введення воєнного стану (відповідно до УКАЗУ ПРЕЗИДЕНТА УКРАЇНИ №64/2022 Про введення воєнного стану в Україні від 24.02.2022р.) дають підстави вважати, що є суттєва невизначеність, щодо стабільності подальшого</w:t>
      </w:r>
      <w:r w:rsidRPr="002F7799">
        <w:rPr>
          <w:shd w:val="clear" w:color="auto" w:fill="FFFFFF"/>
        </w:rPr>
        <w:t> </w:t>
      </w:r>
      <w:r w:rsidRPr="002F7799">
        <w:rPr>
          <w:shd w:val="clear" w:color="auto" w:fill="FFFFFF"/>
          <w:lang w:val="uk-UA"/>
        </w:rPr>
        <w:t>функціонування та обсягів зменшення ринку фінансових послуг на території країни взагалі.</w:t>
      </w:r>
    </w:p>
    <w:p w:rsidR="00742F30" w:rsidRPr="009F2460" w:rsidRDefault="00DE1F18" w:rsidP="00D00A79">
      <w:pPr>
        <w:widowControl/>
        <w:shd w:val="clear" w:color="auto" w:fill="FFFFFF"/>
        <w:suppressAutoHyphens w:val="0"/>
        <w:spacing w:before="280" w:after="280"/>
        <w:ind w:firstLine="709"/>
        <w:jc w:val="both"/>
        <w:rPr>
          <w:color w:val="FF0000"/>
          <w:lang w:val="uk-UA"/>
        </w:rPr>
      </w:pPr>
      <w:r w:rsidRPr="003E2FCB">
        <w:rPr>
          <w:lang w:val="uk-UA"/>
        </w:rPr>
        <w:t xml:space="preserve">Центральний офіс Товариства не знаходиться в епіцентрі військових дій </w:t>
      </w:r>
      <w:r w:rsidR="003E2FCB">
        <w:rPr>
          <w:lang w:val="uk-UA"/>
        </w:rPr>
        <w:t xml:space="preserve">або в </w:t>
      </w:r>
      <w:r w:rsidR="003E2FCB" w:rsidRPr="003E2FCB">
        <w:rPr>
          <w:lang w:val="uk-UA"/>
        </w:rPr>
        <w:t>місці тимчасової окупації</w:t>
      </w:r>
      <w:r w:rsidR="00742F30">
        <w:rPr>
          <w:lang w:val="uk-UA"/>
        </w:rPr>
        <w:t xml:space="preserve">. </w:t>
      </w:r>
      <w:r w:rsidR="00EF1A78">
        <w:rPr>
          <w:lang w:val="uk-UA"/>
        </w:rPr>
        <w:t>Але станом н</w:t>
      </w:r>
      <w:r w:rsidR="00742F30">
        <w:rPr>
          <w:lang w:val="uk-UA"/>
        </w:rPr>
        <w:t>а 01 березня 2022 року повинні були розпочати свою діяльність нові зареєстровані Відокремлені Підрозділи</w:t>
      </w:r>
      <w:r w:rsidR="00EF1A78">
        <w:rPr>
          <w:lang w:val="uk-UA"/>
        </w:rPr>
        <w:t xml:space="preserve"> </w:t>
      </w:r>
      <w:r w:rsidR="00EF1A78" w:rsidRPr="00AB252C">
        <w:rPr>
          <w:color w:val="000000"/>
        </w:rPr>
        <w:t>Повного Товариства "Економ Ломбард" Добродькін О.М. І Компанія"</w:t>
      </w:r>
      <w:r w:rsidR="00EF1A78">
        <w:rPr>
          <w:color w:val="000000"/>
        </w:rPr>
        <w:t>:</w:t>
      </w:r>
      <w:r w:rsidR="009F2460">
        <w:rPr>
          <w:color w:val="000000"/>
          <w:lang w:val="uk-UA"/>
        </w:rPr>
        <w:t xml:space="preserve"> </w:t>
      </w:r>
    </w:p>
    <w:p w:rsidR="00D00A79" w:rsidRDefault="00D00A79" w:rsidP="00742F30">
      <w:pPr>
        <w:widowControl/>
        <w:shd w:val="clear" w:color="auto" w:fill="FFFFFF"/>
        <w:suppressAutoHyphens w:val="0"/>
        <w:spacing w:before="280" w:after="280"/>
        <w:jc w:val="both"/>
        <w:rPr>
          <w:lang w:val="uk-UA"/>
        </w:rPr>
      </w:pPr>
      <w:r w:rsidRPr="00AB252C">
        <w:rPr>
          <w:color w:val="000000"/>
        </w:rPr>
        <w:lastRenderedPageBreak/>
        <w:t>Відокремлений Підрозділ</w:t>
      </w:r>
      <w:r w:rsidRPr="00D00A79">
        <w:rPr>
          <w:color w:val="000000"/>
          <w:lang w:val="uk-UA"/>
        </w:rPr>
        <w:t xml:space="preserve"> №20</w:t>
      </w:r>
      <w:r>
        <w:rPr>
          <w:color w:val="000000"/>
          <w:lang w:val="uk-UA"/>
        </w:rPr>
        <w:t xml:space="preserve">, що розташований за адресою: </w:t>
      </w:r>
      <w:r>
        <w:rPr>
          <w:lang w:val="uk-UA"/>
        </w:rPr>
        <w:t>85300, Донецька область, місто Покровськ, м-н Южний, буд. 7;</w:t>
      </w:r>
    </w:p>
    <w:p w:rsidR="00D00A79" w:rsidRDefault="00D00A79" w:rsidP="00D00A79">
      <w:pPr>
        <w:widowControl/>
        <w:shd w:val="clear" w:color="auto" w:fill="FFFFFF"/>
        <w:suppressAutoHyphens w:val="0"/>
        <w:spacing w:before="280" w:after="280"/>
        <w:jc w:val="both"/>
        <w:rPr>
          <w:color w:val="000000"/>
          <w:lang w:val="uk-UA"/>
        </w:rPr>
      </w:pPr>
      <w:r w:rsidRPr="00D00A79">
        <w:rPr>
          <w:color w:val="000000"/>
          <w:lang w:val="uk-UA"/>
        </w:rPr>
        <w:t xml:space="preserve">Відокремлений Підрозділ №21 </w:t>
      </w:r>
      <w:r>
        <w:rPr>
          <w:color w:val="000000"/>
          <w:lang w:val="uk-UA"/>
        </w:rPr>
        <w:t xml:space="preserve">- </w:t>
      </w:r>
      <w:r w:rsidRPr="00D00A79">
        <w:rPr>
          <w:color w:val="000000"/>
          <w:lang w:val="uk-UA"/>
        </w:rPr>
        <w:t>85110, Донецька обл., Краматорський р-н, місто Костянтинівка, вул.</w:t>
      </w:r>
      <w:r w:rsidR="00EF1A78">
        <w:rPr>
          <w:color w:val="000000"/>
          <w:lang w:val="uk-UA"/>
        </w:rPr>
        <w:t xml:space="preserve"> </w:t>
      </w:r>
      <w:r w:rsidRPr="00D00A79">
        <w:rPr>
          <w:color w:val="000000"/>
          <w:lang w:val="uk-UA"/>
        </w:rPr>
        <w:t>Ціолковського, будинок 33В</w:t>
      </w:r>
      <w:r>
        <w:rPr>
          <w:color w:val="000000"/>
          <w:lang w:val="uk-UA"/>
        </w:rPr>
        <w:t>;</w:t>
      </w:r>
    </w:p>
    <w:p w:rsidR="00D00A79" w:rsidRDefault="00D00A79" w:rsidP="00D00A79">
      <w:pPr>
        <w:widowControl/>
        <w:shd w:val="clear" w:color="auto" w:fill="FFFFFF"/>
        <w:suppressAutoHyphens w:val="0"/>
        <w:spacing w:before="280" w:after="280"/>
        <w:jc w:val="both"/>
        <w:rPr>
          <w:color w:val="000000"/>
          <w:lang w:val="uk-UA"/>
        </w:rPr>
      </w:pPr>
      <w:r w:rsidRPr="00D00A79">
        <w:rPr>
          <w:color w:val="000000"/>
          <w:lang w:val="uk-UA"/>
        </w:rPr>
        <w:t xml:space="preserve">Відокремлений Підрозділ №22 </w:t>
      </w:r>
      <w:r>
        <w:rPr>
          <w:color w:val="000000"/>
          <w:lang w:val="uk-UA"/>
        </w:rPr>
        <w:t xml:space="preserve">- </w:t>
      </w:r>
      <w:r w:rsidRPr="00D00A79">
        <w:rPr>
          <w:color w:val="000000"/>
          <w:lang w:val="uk-UA"/>
        </w:rPr>
        <w:t>85113, Донецька обл., Краматорський р-н, місто Костянтинівка, вул.</w:t>
      </w:r>
      <w:r w:rsidR="00EF1A78">
        <w:rPr>
          <w:color w:val="000000"/>
          <w:lang w:val="uk-UA"/>
        </w:rPr>
        <w:t xml:space="preserve"> </w:t>
      </w:r>
      <w:r w:rsidRPr="00D00A79">
        <w:rPr>
          <w:color w:val="000000"/>
          <w:lang w:val="uk-UA"/>
        </w:rPr>
        <w:t>Громова, будинок 16</w:t>
      </w:r>
      <w:r>
        <w:rPr>
          <w:color w:val="000000"/>
          <w:lang w:val="uk-UA"/>
        </w:rPr>
        <w:t>;</w:t>
      </w:r>
    </w:p>
    <w:p w:rsidR="00D00A79" w:rsidRDefault="00D00A79" w:rsidP="00D00A79">
      <w:pPr>
        <w:jc w:val="both"/>
        <w:rPr>
          <w:color w:val="000000"/>
          <w:lang w:val="uk-UA"/>
        </w:rPr>
      </w:pPr>
      <w:r w:rsidRPr="00D00A79">
        <w:rPr>
          <w:color w:val="000000"/>
          <w:lang w:val="uk-UA"/>
        </w:rPr>
        <w:t xml:space="preserve">Відокремлений Підрозділ №23 </w:t>
      </w:r>
      <w:r>
        <w:rPr>
          <w:color w:val="000000"/>
          <w:lang w:val="uk-UA"/>
        </w:rPr>
        <w:t xml:space="preserve">- </w:t>
      </w:r>
      <w:r w:rsidRPr="00D00A79">
        <w:rPr>
          <w:color w:val="000000"/>
          <w:lang w:val="uk-UA"/>
        </w:rPr>
        <w:t>53408, Дніпропетровська обл., Нікопольський р-н, місто Марганець, вул.</w:t>
      </w:r>
      <w:r w:rsidR="00EF1A78">
        <w:rPr>
          <w:color w:val="000000"/>
          <w:lang w:val="uk-UA"/>
        </w:rPr>
        <w:t xml:space="preserve"> </w:t>
      </w:r>
      <w:r w:rsidRPr="00D00A79">
        <w:rPr>
          <w:color w:val="000000"/>
          <w:lang w:val="uk-UA"/>
        </w:rPr>
        <w:t>Лермонтова, будинок 23</w:t>
      </w:r>
      <w:r>
        <w:rPr>
          <w:color w:val="000000"/>
          <w:lang w:val="uk-UA"/>
        </w:rPr>
        <w:t>.</w:t>
      </w:r>
    </w:p>
    <w:p w:rsidR="00561DB2" w:rsidRDefault="00EF1A78" w:rsidP="009F2460">
      <w:pPr>
        <w:jc w:val="both"/>
        <w:rPr>
          <w:color w:val="000000"/>
          <w:lang w:val="uk-UA"/>
        </w:rPr>
      </w:pPr>
      <w:r>
        <w:rPr>
          <w:color w:val="000000"/>
          <w:lang w:val="uk-UA"/>
        </w:rPr>
        <w:t>Але після ведення воєнного стану, Відокремлені Підрозділи були визначені на територіях що знаходяться поблизу ведення бойових дій, у зв</w:t>
      </w:r>
      <w:r w:rsidRPr="00EF1A78">
        <w:rPr>
          <w:color w:val="000000"/>
        </w:rPr>
        <w:t>’</w:t>
      </w:r>
      <w:r>
        <w:rPr>
          <w:color w:val="000000"/>
          <w:lang w:val="uk-UA"/>
        </w:rPr>
        <w:t>язку з чим свою діяльність не розпочали.</w:t>
      </w:r>
    </w:p>
    <w:p w:rsidR="00561DB2" w:rsidRPr="00561DB2" w:rsidRDefault="00561DB2" w:rsidP="00561DB2">
      <w:pPr>
        <w:jc w:val="both"/>
        <w:rPr>
          <w:color w:val="000000" w:themeColor="text1"/>
          <w:lang w:val="uk-UA"/>
        </w:rPr>
      </w:pPr>
      <w:r w:rsidRPr="00096C7A">
        <w:rPr>
          <w:color w:val="000000" w:themeColor="text1"/>
          <w:lang w:val="uk-UA"/>
        </w:rPr>
        <w:t>То ж, фактично станом на 31.12.2022 року у повному ПТ «Економ Ломбард» не працюють 3 підрозділи.</w:t>
      </w:r>
    </w:p>
    <w:p w:rsidR="00D00A79" w:rsidRDefault="00D00A79" w:rsidP="00EF1A78">
      <w:pPr>
        <w:ind w:firstLine="708"/>
        <w:jc w:val="both"/>
        <w:rPr>
          <w:color w:val="000000"/>
          <w:lang w:val="uk-UA"/>
        </w:rPr>
      </w:pPr>
    </w:p>
    <w:p w:rsidR="00EF1A78" w:rsidRPr="00EF1A78" w:rsidRDefault="00EF1A78" w:rsidP="00EF1A78">
      <w:pPr>
        <w:ind w:firstLine="708"/>
        <w:jc w:val="both"/>
        <w:rPr>
          <w:color w:val="000000"/>
          <w:lang w:val="uk-UA"/>
        </w:rPr>
      </w:pPr>
    </w:p>
    <w:p w:rsidR="00DE1F18" w:rsidRPr="005461F2" w:rsidRDefault="00DE1F18" w:rsidP="00DE1F18">
      <w:pPr>
        <w:widowControl/>
        <w:shd w:val="clear" w:color="auto" w:fill="FFFFFF"/>
        <w:suppressAutoHyphens w:val="0"/>
        <w:ind w:firstLine="709"/>
        <w:jc w:val="both"/>
        <w:rPr>
          <w:lang w:val="uk-UA"/>
        </w:rPr>
      </w:pPr>
      <w:r w:rsidRPr="005461F2">
        <w:rPr>
          <w:lang w:val="uk-UA"/>
        </w:rPr>
        <w:t xml:space="preserve">За оцінками керівництва вплив війни на діяльність та на фінансову звітність </w:t>
      </w:r>
      <w:r w:rsidR="00561DB2">
        <w:rPr>
          <w:lang w:val="uk-UA"/>
        </w:rPr>
        <w:t>фактичний</w:t>
      </w:r>
      <w:r w:rsidRPr="005461F2">
        <w:rPr>
          <w:lang w:val="uk-UA"/>
        </w:rPr>
        <w:t xml:space="preserve"> в наступних напрямах:</w:t>
      </w:r>
    </w:p>
    <w:p w:rsidR="00DE1F18" w:rsidRPr="00EF1A78" w:rsidRDefault="00DE1F18" w:rsidP="00DE1F18">
      <w:pPr>
        <w:widowControl/>
        <w:shd w:val="clear" w:color="auto" w:fill="FFFFFF"/>
        <w:suppressAutoHyphens w:val="0"/>
        <w:ind w:left="432"/>
        <w:jc w:val="both"/>
      </w:pPr>
      <w:r w:rsidRPr="00EF1A78">
        <w:t>зменшення доходів (по напрямкам, що знаходяться на тимчасово окуп.тер., або де вед. Бойові дії);</w:t>
      </w:r>
    </w:p>
    <w:p w:rsidR="00DE1F18" w:rsidRPr="00EF1A78" w:rsidRDefault="00DE1F18" w:rsidP="00DE1F18">
      <w:pPr>
        <w:widowControl/>
        <w:shd w:val="clear" w:color="auto" w:fill="FFFFFF"/>
        <w:suppressAutoHyphens w:val="0"/>
        <w:ind w:left="432"/>
        <w:jc w:val="both"/>
      </w:pPr>
      <w:r w:rsidRPr="00EF1A78">
        <w:t>знецінення активів (по напрямкам, що знаходяться на тимчасово окуп.тер., або де вед. Бойові дії)</w:t>
      </w:r>
    </w:p>
    <w:p w:rsidR="00561DB2" w:rsidRPr="00096C7A" w:rsidRDefault="00561DB2" w:rsidP="00096C7A">
      <w:pPr>
        <w:widowControl/>
        <w:shd w:val="clear" w:color="auto" w:fill="FFFFFF"/>
        <w:suppressAutoHyphens w:val="0"/>
        <w:ind w:left="432"/>
        <w:jc w:val="both"/>
      </w:pPr>
      <w:r>
        <w:rPr>
          <w:lang w:val="uk-UA"/>
        </w:rPr>
        <w:t xml:space="preserve">припинена діяльність Відокремлених Підрозділів </w:t>
      </w:r>
      <w:r w:rsidRPr="00EF1A78">
        <w:t>(по напрямкам, що знаходяться на тимчасово окуп.тер., або де вед. Бойові дії)</w:t>
      </w:r>
    </w:p>
    <w:p w:rsidR="00DE1F18" w:rsidRPr="00EF1A78" w:rsidRDefault="00DE1F18" w:rsidP="00DE1F18">
      <w:pPr>
        <w:widowControl/>
        <w:shd w:val="clear" w:color="auto" w:fill="FFFFFF"/>
        <w:suppressAutoHyphens w:val="0"/>
        <w:spacing w:before="280" w:after="280"/>
        <w:ind w:firstLine="567"/>
        <w:jc w:val="both"/>
      </w:pPr>
      <w:r w:rsidRPr="00EF1A78">
        <w:t>Товариство не здійснює діяльність з особами, які знаходяться в санкційних списках Державної служби фінансового моніторингу (особи-резиденти Росії та Білорусії). Фінансові послуги, що надаються Товариством  мають переважно національний характер, тому санкції щодо Росії та Білорусії  не відіграють ролі на результат ведення діяльності.</w:t>
      </w:r>
    </w:p>
    <w:p w:rsidR="00102F34" w:rsidRDefault="00DE1F18" w:rsidP="00DE1F18">
      <w:pPr>
        <w:widowControl/>
        <w:shd w:val="clear" w:color="auto" w:fill="FFFFFF"/>
        <w:suppressAutoHyphens w:val="0"/>
        <w:spacing w:before="280" w:after="280"/>
        <w:ind w:firstLine="709"/>
        <w:jc w:val="both"/>
      </w:pPr>
      <w:r w:rsidRPr="002F7799">
        <w:t>Таким чином, Товариство не очікує значних змін в провадженні майбутньої діяльності. Очікується зменшення суми доходів в зв’язку з погіршенням стану економіки, платоспроможності населення та припинення/призупинення діяльності багатьох юридичних осіб, але це не матиме суттєвий вплив на здатність Товариства здійснювати безперервну діяльність. </w:t>
      </w:r>
    </w:p>
    <w:p w:rsidR="00102F34" w:rsidRPr="00102F34" w:rsidRDefault="00102F34" w:rsidP="00102F34">
      <w:pPr>
        <w:widowControl/>
        <w:shd w:val="clear" w:color="auto" w:fill="FFFFFF"/>
        <w:suppressAutoHyphens w:val="0"/>
        <w:spacing w:before="280" w:after="280"/>
        <w:ind w:firstLine="709"/>
        <w:jc w:val="both"/>
        <w:rPr>
          <w:color w:val="000000"/>
          <w:lang w:val="uk-UA" w:eastAsia="uk-UA"/>
        </w:rPr>
      </w:pPr>
      <w:r>
        <w:rPr>
          <w:lang w:val="uk-UA"/>
        </w:rPr>
        <w:t xml:space="preserve">Щодо стану роботи Відокремлених Підрозділів – ВП №20 було перереєстровано за новою адресою: </w:t>
      </w:r>
      <w:r w:rsidRPr="00102F34">
        <w:rPr>
          <w:color w:val="000000"/>
          <w:lang w:val="uk-UA" w:eastAsia="uk-UA"/>
        </w:rPr>
        <w:t>Дніпропетровська область, Павлоградський район, м.Павлоград, вул. Центральна, буд. 41/19</w:t>
      </w:r>
      <w:r>
        <w:rPr>
          <w:color w:val="000000"/>
          <w:lang w:val="uk-UA" w:eastAsia="uk-UA"/>
        </w:rPr>
        <w:t xml:space="preserve">, та розпочато </w:t>
      </w:r>
      <w:r w:rsidR="00EE634A">
        <w:rPr>
          <w:color w:val="000000"/>
          <w:lang w:val="uk-UA" w:eastAsia="uk-UA"/>
        </w:rPr>
        <w:t>діяльність</w:t>
      </w:r>
      <w:r>
        <w:rPr>
          <w:color w:val="000000"/>
          <w:lang w:val="uk-UA" w:eastAsia="uk-UA"/>
        </w:rPr>
        <w:t>; ВП №21; ВП №22; ВП №23 - станом на 13.12.2022 року, свою діяльність не розпочали. Також у зв</w:t>
      </w:r>
      <w:r w:rsidRPr="00102F34">
        <w:rPr>
          <w:color w:val="000000"/>
          <w:lang w:eastAsia="uk-UA"/>
        </w:rPr>
        <w:t>’</w:t>
      </w:r>
      <w:r>
        <w:rPr>
          <w:color w:val="000000"/>
          <w:lang w:val="uk-UA" w:eastAsia="uk-UA"/>
        </w:rPr>
        <w:t xml:space="preserve">язку з воєнним положенням, на початку періоду у березні місяці, з Товариства звільнилося 12 касирів, які за обставин покинули країну. </w:t>
      </w:r>
      <w:r w:rsidR="00EE634A">
        <w:rPr>
          <w:color w:val="000000"/>
          <w:lang w:val="uk-UA" w:eastAsia="uk-UA"/>
        </w:rPr>
        <w:t>В продовж періоду, було відновлено робочі місця, набрано нових працівників, та Товариство продовжує свою діяльність.</w:t>
      </w:r>
    </w:p>
    <w:p w:rsidR="00EE634A" w:rsidRPr="00561DB2" w:rsidRDefault="00DE1F18" w:rsidP="00561DB2">
      <w:pPr>
        <w:widowControl/>
        <w:shd w:val="clear" w:color="auto" w:fill="FFFFFF"/>
        <w:suppressAutoHyphens w:val="0"/>
        <w:spacing w:before="280" w:after="280"/>
        <w:ind w:firstLine="709"/>
        <w:jc w:val="both"/>
        <w:rPr>
          <w:color w:val="222222"/>
          <w:lang w:val="uk-UA"/>
        </w:rPr>
      </w:pPr>
      <w:r w:rsidRPr="002F7799">
        <w:rPr>
          <w:shd w:val="clear" w:color="auto" w:fill="FFFFFF"/>
        </w:rPr>
        <w:t> </w:t>
      </w:r>
      <w:r w:rsidRPr="00102F34">
        <w:rPr>
          <w:shd w:val="clear" w:color="auto" w:fill="FFFFFF"/>
          <w:lang w:val="uk-UA"/>
        </w:rPr>
        <w:t>Однак, наявна інформація щодо тривалості воєнного стану в країні, економічних наслідків та державної підтримки на дату затвердження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а також їх вплив на фінансовий стан та результати діяльності Товариства в майбутніх періодах.</w:t>
      </w:r>
    </w:p>
    <w:p w:rsidR="006A003C" w:rsidRPr="00EE634A" w:rsidRDefault="006A003C" w:rsidP="006A003C">
      <w:pPr>
        <w:rPr>
          <w:b/>
          <w:noProof/>
          <w:color w:val="000000" w:themeColor="text1"/>
          <w:lang w:val="uk-UA"/>
        </w:rPr>
      </w:pPr>
      <w:r w:rsidRPr="00EE634A">
        <w:rPr>
          <w:b/>
          <w:noProof/>
          <w:color w:val="000000" w:themeColor="text1"/>
          <w:lang w:val="uk-UA"/>
        </w:rPr>
        <w:t xml:space="preserve">Заява про відповідальність керівництва </w:t>
      </w:r>
    </w:p>
    <w:p w:rsidR="006A003C" w:rsidRPr="00EE634A" w:rsidRDefault="006A003C" w:rsidP="006A003C">
      <w:pPr>
        <w:rPr>
          <w:b/>
          <w:noProof/>
          <w:color w:val="000000" w:themeColor="text1"/>
          <w:lang w:val="uk-UA"/>
        </w:rPr>
      </w:pPr>
    </w:p>
    <w:p w:rsidR="006A003C" w:rsidRPr="00EE634A" w:rsidRDefault="006A003C" w:rsidP="008C115C">
      <w:pPr>
        <w:widowControl/>
        <w:numPr>
          <w:ilvl w:val="0"/>
          <w:numId w:val="34"/>
        </w:numPr>
        <w:suppressAutoHyphens w:val="0"/>
        <w:ind w:hanging="153"/>
        <w:jc w:val="both"/>
        <w:rPr>
          <w:noProof/>
          <w:color w:val="000000" w:themeColor="text1"/>
          <w:lang w:val="uk-UA"/>
        </w:rPr>
      </w:pPr>
      <w:bookmarkStart w:id="0" w:name="_Ref191783085"/>
      <w:r w:rsidRPr="00EE634A">
        <w:rPr>
          <w:color w:val="000000" w:themeColor="text1"/>
          <w:lang w:val="uk-UA"/>
        </w:rPr>
        <w:lastRenderedPageBreak/>
        <w:t xml:space="preserve">Ми підготували фінансову звітність станом на 31 грудня 2021 року та за 2021 фінансовий рік, яка подає об’єктивно, в усіх суттєвих аспектах, фінансовий стан </w:t>
      </w:r>
      <w:r w:rsidR="00652704" w:rsidRPr="00EE634A">
        <w:rPr>
          <w:color w:val="000000" w:themeColor="text1"/>
          <w:lang w:val="uk-UA"/>
        </w:rPr>
        <w:t>ПТ «Економ Ломбард»</w:t>
      </w:r>
      <w:r w:rsidRPr="00EE634A">
        <w:rPr>
          <w:color w:val="000000" w:themeColor="text1"/>
          <w:lang w:val="uk-UA"/>
        </w:rPr>
        <w:t xml:space="preserve"> та ре</w:t>
      </w:r>
      <w:r w:rsidR="008C115C" w:rsidRPr="00EE634A">
        <w:rPr>
          <w:color w:val="000000" w:themeColor="text1"/>
          <w:lang w:val="uk-UA"/>
        </w:rPr>
        <w:t>зультати його діяльності за 2021</w:t>
      </w:r>
      <w:r w:rsidRPr="00EE634A">
        <w:rPr>
          <w:color w:val="000000" w:themeColor="text1"/>
          <w:lang w:val="uk-UA"/>
        </w:rPr>
        <w:t xml:space="preserve"> фінансовий рік відповідно до Міжнародних стандартів фінансової звітності</w:t>
      </w:r>
      <w:r w:rsidRPr="00EE634A">
        <w:rPr>
          <w:noProof/>
          <w:color w:val="000000" w:themeColor="text1"/>
          <w:lang w:val="uk-UA"/>
        </w:rPr>
        <w:t xml:space="preserve"> (МСФЗ).</w:t>
      </w:r>
      <w:bookmarkEnd w:id="0"/>
    </w:p>
    <w:p w:rsidR="006A003C" w:rsidRPr="00EE634A" w:rsidRDefault="006A003C" w:rsidP="006A003C">
      <w:pPr>
        <w:ind w:left="153"/>
        <w:jc w:val="both"/>
        <w:rPr>
          <w:noProof/>
          <w:color w:val="000000" w:themeColor="text1"/>
          <w:lang w:val="uk-UA"/>
        </w:rPr>
      </w:pPr>
    </w:p>
    <w:p w:rsidR="006A003C" w:rsidRPr="00EE634A" w:rsidRDefault="006A003C" w:rsidP="008C115C">
      <w:pPr>
        <w:widowControl/>
        <w:numPr>
          <w:ilvl w:val="0"/>
          <w:numId w:val="34"/>
        </w:numPr>
        <w:suppressAutoHyphens w:val="0"/>
        <w:ind w:hanging="153"/>
        <w:jc w:val="both"/>
        <w:rPr>
          <w:color w:val="000000" w:themeColor="text1"/>
          <w:lang w:val="uk-UA"/>
        </w:rPr>
      </w:pPr>
      <w:r w:rsidRPr="00EE634A">
        <w:rPr>
          <w:noProof/>
          <w:color w:val="000000" w:themeColor="text1"/>
          <w:lang w:val="uk-UA"/>
        </w:rPr>
        <w:t xml:space="preserve">Керівництво </w:t>
      </w:r>
      <w:r w:rsidR="008C115C" w:rsidRPr="00EE634A">
        <w:rPr>
          <w:noProof/>
          <w:color w:val="000000" w:themeColor="text1"/>
          <w:lang w:val="uk-UA"/>
        </w:rPr>
        <w:t>Товариства</w:t>
      </w:r>
      <w:r w:rsidRPr="00EE634A">
        <w:rPr>
          <w:noProof/>
          <w:color w:val="000000" w:themeColor="text1"/>
          <w:lang w:val="uk-UA"/>
        </w:rPr>
        <w:t xml:space="preserve"> несе відповідальність за те, щоб бухгалтерський облік, який ведеться в </w:t>
      </w:r>
      <w:r w:rsidR="008C115C" w:rsidRPr="00EE634A">
        <w:rPr>
          <w:noProof/>
          <w:color w:val="000000" w:themeColor="text1"/>
          <w:lang w:val="uk-UA"/>
        </w:rPr>
        <w:t>Товаристві</w:t>
      </w:r>
      <w:r w:rsidRPr="00EE634A">
        <w:rPr>
          <w:noProof/>
          <w:color w:val="000000" w:themeColor="text1"/>
          <w:lang w:val="uk-UA"/>
        </w:rPr>
        <w:t>, розкривав з достатнім р</w:t>
      </w:r>
      <w:r w:rsidR="008C115C" w:rsidRPr="00EE634A">
        <w:rPr>
          <w:noProof/>
          <w:color w:val="000000" w:themeColor="text1"/>
          <w:lang w:val="uk-UA"/>
        </w:rPr>
        <w:t>івнем точності фінансовий стан Товариства</w:t>
      </w:r>
      <w:r w:rsidRPr="00EE634A">
        <w:rPr>
          <w:noProof/>
          <w:color w:val="000000" w:themeColor="text1"/>
          <w:lang w:val="uk-UA"/>
        </w:rPr>
        <w:t xml:space="preserve"> та забезпечував відповідність її фінансової звітності МСФЗ та українським законам і правилам.</w:t>
      </w:r>
      <w:r w:rsidRPr="00EE634A">
        <w:rPr>
          <w:color w:val="000000" w:themeColor="text1"/>
          <w:lang w:val="uk-UA"/>
        </w:rPr>
        <w:t xml:space="preserve"> </w:t>
      </w:r>
      <w:r w:rsidRPr="00EE634A">
        <w:rPr>
          <w:noProof/>
          <w:color w:val="000000" w:themeColor="text1"/>
          <w:lang w:val="uk-UA"/>
        </w:rPr>
        <w:t xml:space="preserve">Керівництво </w:t>
      </w:r>
      <w:r w:rsidR="008C115C" w:rsidRPr="00EE634A">
        <w:rPr>
          <w:noProof/>
          <w:color w:val="000000" w:themeColor="text1"/>
          <w:lang w:val="uk-UA"/>
        </w:rPr>
        <w:t>Товариства</w:t>
      </w:r>
      <w:r w:rsidRPr="00EE634A">
        <w:rPr>
          <w:noProof/>
          <w:color w:val="000000" w:themeColor="text1"/>
          <w:lang w:val="uk-UA"/>
        </w:rPr>
        <w:t xml:space="preserve"> також несе загальну відповідальність за вжиття всіх можливих заходів, які забезпечують збереження активів </w:t>
      </w:r>
      <w:r w:rsidR="008C115C" w:rsidRPr="00EE634A">
        <w:rPr>
          <w:noProof/>
          <w:color w:val="000000" w:themeColor="text1"/>
          <w:lang w:val="uk-UA"/>
        </w:rPr>
        <w:t>Товариства</w:t>
      </w:r>
      <w:r w:rsidRPr="00EE634A">
        <w:rPr>
          <w:noProof/>
          <w:color w:val="000000" w:themeColor="text1"/>
          <w:lang w:val="uk-UA"/>
        </w:rPr>
        <w:t xml:space="preserve"> і попередження та виявлення випадків зловживань та інших порушень.</w:t>
      </w:r>
    </w:p>
    <w:p w:rsidR="006A003C" w:rsidRPr="00EE634A" w:rsidRDefault="006A003C" w:rsidP="008C115C">
      <w:pPr>
        <w:ind w:hanging="153"/>
        <w:rPr>
          <w:color w:val="000000" w:themeColor="text1"/>
          <w:lang w:val="uk-UA"/>
        </w:rPr>
      </w:pPr>
    </w:p>
    <w:p w:rsidR="006A003C" w:rsidRPr="006A003C" w:rsidRDefault="006A003C" w:rsidP="008C115C">
      <w:pPr>
        <w:widowControl/>
        <w:numPr>
          <w:ilvl w:val="0"/>
          <w:numId w:val="34"/>
        </w:numPr>
        <w:suppressAutoHyphens w:val="0"/>
        <w:ind w:hanging="153"/>
        <w:jc w:val="both"/>
        <w:rPr>
          <w:color w:val="FF0000"/>
          <w:sz w:val="20"/>
          <w:lang w:val="uk-UA"/>
        </w:rPr>
      </w:pPr>
      <w:r w:rsidRPr="00EE634A">
        <w:rPr>
          <w:noProof/>
          <w:color w:val="000000" w:themeColor="text1"/>
          <w:lang w:val="uk-UA"/>
        </w:rPr>
        <w:t xml:space="preserve">Керівництво вважає, що у процесі підготовки фінансової звітності, </w:t>
      </w:r>
      <w:r w:rsidR="008C115C" w:rsidRPr="00EE634A">
        <w:rPr>
          <w:noProof/>
          <w:color w:val="000000" w:themeColor="text1"/>
          <w:lang w:val="uk-UA"/>
        </w:rPr>
        <w:t>Товариства</w:t>
      </w:r>
      <w:r w:rsidRPr="00EE634A">
        <w:rPr>
          <w:noProof/>
          <w:color w:val="000000" w:themeColor="text1"/>
          <w:lang w:val="uk-UA"/>
        </w:rPr>
        <w:t xml:space="preserve"> застосовувала належну облікову політику, </w:t>
      </w:r>
      <w:r w:rsidRPr="00EE634A">
        <w:rPr>
          <w:color w:val="000000" w:themeColor="text1"/>
          <w:lang w:val="uk-UA"/>
        </w:rPr>
        <w:t xml:space="preserve">її застосування було послідовним і підтверджувалося обґрунтованими та виваженими припущеннями і розрахунками. </w:t>
      </w:r>
      <w:r w:rsidRPr="00EE634A">
        <w:rPr>
          <w:noProof/>
          <w:color w:val="000000" w:themeColor="text1"/>
          <w:lang w:val="uk-UA"/>
        </w:rPr>
        <w:t xml:space="preserve">Також було дотримано всіх відповідних Міжнародних стандартів фінансової </w:t>
      </w:r>
      <w:r w:rsidRPr="001B27CD">
        <w:rPr>
          <w:noProof/>
          <w:color w:val="000000" w:themeColor="text1"/>
          <w:lang w:val="uk-UA"/>
        </w:rPr>
        <w:t>звітності.</w:t>
      </w:r>
    </w:p>
    <w:p w:rsidR="00A77736" w:rsidRPr="00AE2775" w:rsidRDefault="00A77736" w:rsidP="00A77736">
      <w:pPr>
        <w:spacing w:before="120" w:after="120"/>
        <w:rPr>
          <w:b/>
          <w:smallCaps/>
          <w:lang w:val="uk-UA"/>
        </w:rPr>
      </w:pPr>
      <w:r w:rsidRPr="00AE2775">
        <w:rPr>
          <w:b/>
          <w:smallCaps/>
          <w:lang w:val="uk-UA"/>
        </w:rPr>
        <w:t>3. Основи подання фінансової звітності</w:t>
      </w:r>
    </w:p>
    <w:p w:rsidR="00A77736" w:rsidRPr="00AE2775" w:rsidRDefault="00A77736" w:rsidP="00A77736">
      <w:pPr>
        <w:spacing w:before="120" w:after="120"/>
        <w:jc w:val="both"/>
        <w:rPr>
          <w:b/>
          <w:bCs/>
          <w:lang w:val="uk-UA"/>
        </w:rPr>
      </w:pPr>
      <w:r w:rsidRPr="00AE2775">
        <w:rPr>
          <w:b/>
          <w:bCs/>
          <w:lang w:val="uk-UA"/>
        </w:rPr>
        <w:t xml:space="preserve">Підтвердження відповідності </w:t>
      </w:r>
    </w:p>
    <w:p w:rsidR="00A77736" w:rsidRPr="00AE2775" w:rsidRDefault="00A77736" w:rsidP="00A77736">
      <w:pPr>
        <w:spacing w:before="120" w:after="120"/>
        <w:jc w:val="both"/>
        <w:rPr>
          <w:lang w:val="uk-UA"/>
        </w:rPr>
      </w:pPr>
      <w:r w:rsidRPr="00AE2775">
        <w:rPr>
          <w:lang w:val="uk-UA"/>
        </w:rPr>
        <w:t>Дана фінансова звітність була підготовлена відповідно до Міжнародних стандартів фінансової звітності (МСФЗ), випущених Радою з Міжнародних стандартів бухгалтерського обліку (РМСБО), та пояснень, опублікованих Міжнародним Комітетом з тлумачення фінансової звітності (МКТФЗ). Товариство не  застосовувало достроково жодних стандартів, змін та поправок або їх інтерпретацій, які ще не набули чинності.</w:t>
      </w:r>
    </w:p>
    <w:p w:rsidR="00A77736" w:rsidRPr="00AE2775" w:rsidRDefault="00A77736" w:rsidP="00A77736">
      <w:pPr>
        <w:spacing w:before="120" w:after="120"/>
        <w:jc w:val="both"/>
        <w:rPr>
          <w:b/>
          <w:lang w:val="uk-UA"/>
        </w:rPr>
      </w:pPr>
      <w:r w:rsidRPr="00AE2775">
        <w:rPr>
          <w:b/>
          <w:lang w:val="uk-UA"/>
        </w:rPr>
        <w:t>Основні принципи бухгалтерського обліку</w:t>
      </w:r>
    </w:p>
    <w:p w:rsidR="00A77736" w:rsidRPr="00AE2775" w:rsidRDefault="00A77736" w:rsidP="00A77736">
      <w:pPr>
        <w:spacing w:before="120" w:after="120"/>
        <w:jc w:val="both"/>
        <w:rPr>
          <w:lang w:val="uk-UA"/>
        </w:rPr>
      </w:pPr>
      <w:r w:rsidRPr="00AE2775">
        <w:rPr>
          <w:lang w:val="uk-UA"/>
        </w:rPr>
        <w:t>Фінансова звітність складена на підставі даних бухгалтерського обліку, який ведеться згідно з українським законодавством та у відповідності до вимог МСБО, МСФЗ. Вихідні залишки фінансової звітності за попередній період є вхідними залишками фінансової звітності за звітний період.</w:t>
      </w:r>
    </w:p>
    <w:p w:rsidR="00A77736" w:rsidRPr="00AE2775" w:rsidRDefault="00A77736" w:rsidP="00A77736">
      <w:pPr>
        <w:spacing w:before="120" w:after="120"/>
        <w:jc w:val="both"/>
        <w:rPr>
          <w:b/>
          <w:lang w:val="uk-UA"/>
        </w:rPr>
      </w:pPr>
      <w:r w:rsidRPr="00AE2775">
        <w:rPr>
          <w:b/>
          <w:lang w:val="uk-UA"/>
        </w:rPr>
        <w:t>Функціональна валюта</w:t>
      </w:r>
    </w:p>
    <w:p w:rsidR="00A77736" w:rsidRPr="00AE2775" w:rsidRDefault="00A77736" w:rsidP="00A77736">
      <w:pPr>
        <w:spacing w:before="120" w:after="120"/>
        <w:jc w:val="both"/>
        <w:rPr>
          <w:lang w:val="uk-UA"/>
        </w:rPr>
      </w:pPr>
      <w:r w:rsidRPr="00AE2775">
        <w:rPr>
          <w:lang w:val="uk-UA"/>
        </w:rPr>
        <w:t xml:space="preserve">Функціональною валютою, у якій ведеться бухгалтерський облік Товариства є грошова одиниця України – гривня. Товариство складає та подає фінансову звітність у тисячах гривень, якщо не зазначено інше. Сума менша ніж 500 гривень округлюється до нуля, сума, що дорівнює 500 гривень та більше, округлюється до 1000 гривень. </w:t>
      </w:r>
    </w:p>
    <w:p w:rsidR="00A77736" w:rsidRPr="00AE2775" w:rsidRDefault="00A77736" w:rsidP="00A77736">
      <w:pPr>
        <w:spacing w:before="120" w:after="120"/>
        <w:rPr>
          <w:b/>
          <w:smallCaps/>
          <w:lang w:val="uk-UA"/>
        </w:rPr>
      </w:pPr>
      <w:r w:rsidRPr="00AE2775">
        <w:rPr>
          <w:b/>
          <w:smallCaps/>
          <w:lang w:val="uk-UA"/>
        </w:rPr>
        <w:t>4. Основні положення облікової політики</w:t>
      </w:r>
    </w:p>
    <w:p w:rsidR="00A77736" w:rsidRPr="00AE2775" w:rsidRDefault="00A77736" w:rsidP="00A77736">
      <w:pPr>
        <w:spacing w:before="120" w:after="120"/>
        <w:jc w:val="both"/>
        <w:rPr>
          <w:lang w:val="uk-UA"/>
        </w:rPr>
      </w:pPr>
      <w:r w:rsidRPr="00AE2775">
        <w:rPr>
          <w:lang w:val="uk-UA"/>
        </w:rPr>
        <w:t>Основні принципи облікової політики, що використовувались у ході підготовки цієї фінансової звітності, наведено далі. Ці принципи застосовувались послідовно відносно всіх періодів, поданих у звітності, якщо не зазначено інше.</w:t>
      </w:r>
    </w:p>
    <w:p w:rsidR="00A77736" w:rsidRPr="00AE2775" w:rsidRDefault="00A77736" w:rsidP="00A77736">
      <w:pPr>
        <w:spacing w:before="120" w:after="120"/>
        <w:jc w:val="both"/>
        <w:rPr>
          <w:b/>
          <w:bCs/>
          <w:lang w:val="uk-UA"/>
        </w:rPr>
      </w:pPr>
      <w:r w:rsidRPr="00AE2775">
        <w:rPr>
          <w:b/>
          <w:bCs/>
          <w:lang w:val="uk-UA"/>
        </w:rPr>
        <w:t>Основи оцінки складання фінансової звітності</w:t>
      </w:r>
    </w:p>
    <w:p w:rsidR="00A77736" w:rsidRPr="00AE2775" w:rsidRDefault="00A77736" w:rsidP="00A77736">
      <w:pPr>
        <w:spacing w:before="120" w:after="120"/>
        <w:jc w:val="both"/>
        <w:rPr>
          <w:bCs/>
          <w:lang w:val="uk-UA"/>
        </w:rPr>
      </w:pPr>
      <w:r w:rsidRPr="00AE2775">
        <w:rPr>
          <w:bCs/>
          <w:lang w:val="uk-UA"/>
        </w:rPr>
        <w:t>Ця фінансова звітність була підготовлена відповідно до МСФЗ на основі принципу історичної вартості, з коригуваннями на початкове визнання фінансових інструментів за справедливою вартістю та переоцінку фінансових активів для  подальшого продажу і фінансових інструментів, що обліковуються за справедливою вартістю, зміни якої відносяться на фінансових результат.</w:t>
      </w:r>
    </w:p>
    <w:p w:rsidR="00A77736" w:rsidRPr="00AE2775" w:rsidRDefault="00A77736" w:rsidP="00A77736">
      <w:pPr>
        <w:spacing w:before="120" w:after="120"/>
        <w:jc w:val="both"/>
        <w:rPr>
          <w:bCs/>
          <w:lang w:val="uk-UA"/>
        </w:rPr>
      </w:pPr>
      <w:r w:rsidRPr="00AE2775">
        <w:rPr>
          <w:bCs/>
          <w:lang w:val="uk-UA"/>
        </w:rPr>
        <w:t>Загальні принципи, що складають облікову політику Товариства і є основою для однакового розуміння та підходів при відображенні операцій у бухгалтерському обліку, наступні:</w:t>
      </w:r>
    </w:p>
    <w:p w:rsidR="00A77736" w:rsidRPr="00AE2775" w:rsidRDefault="00A77736" w:rsidP="00A77736">
      <w:pPr>
        <w:spacing w:before="120" w:after="120"/>
        <w:jc w:val="both"/>
        <w:rPr>
          <w:bCs/>
          <w:lang w:val="uk-UA"/>
        </w:rPr>
      </w:pPr>
      <w:r w:rsidRPr="00AE2775">
        <w:rPr>
          <w:bCs/>
          <w:lang w:val="uk-UA"/>
        </w:rPr>
        <w:t xml:space="preserve">безперервність діяльності, нарахування та відповідність доходів і витрат, повне висвітлення, превалювання сутності над формою, автономність, обачність, послідовність, достовірне </w:t>
      </w:r>
      <w:r w:rsidRPr="00AE2775">
        <w:rPr>
          <w:bCs/>
          <w:lang w:val="uk-UA"/>
        </w:rPr>
        <w:lastRenderedPageBreak/>
        <w:t>представлення, нейтральність. Облік, ґрунтуючись на зазначених принципах, має забезпечити одержання достовірної,  якісної, своєчасної та доступної для розуміння  інформації з метою прийняття її користувачами відповідних рішень.</w:t>
      </w:r>
    </w:p>
    <w:p w:rsidR="00A77736" w:rsidRPr="00AE2775" w:rsidRDefault="00A77736" w:rsidP="00A77736">
      <w:pPr>
        <w:spacing w:before="120" w:after="120"/>
        <w:jc w:val="both"/>
        <w:rPr>
          <w:b/>
          <w:bCs/>
          <w:i/>
          <w:lang w:val="uk-UA"/>
        </w:rPr>
      </w:pPr>
      <w:r w:rsidRPr="00AE2775">
        <w:rPr>
          <w:b/>
          <w:bCs/>
          <w:lang w:val="uk-UA"/>
        </w:rPr>
        <w:t xml:space="preserve">Фінансові інструменти. Класифікація. </w:t>
      </w:r>
      <w:r w:rsidRPr="00AE2775">
        <w:rPr>
          <w:b/>
          <w:bCs/>
          <w:i/>
          <w:lang w:val="uk-UA"/>
        </w:rPr>
        <w:t>МСБО 32 «Фінансові інструменти: подання», МСФЗ 7 «Фінансові інструменти: розкриття інформації», МСФЗ 9 «Фінансові інструменти».</w:t>
      </w:r>
    </w:p>
    <w:p w:rsidR="00A77736" w:rsidRPr="00AE2775" w:rsidRDefault="00A77736" w:rsidP="00A77736">
      <w:pPr>
        <w:spacing w:before="120" w:after="120"/>
        <w:jc w:val="both"/>
        <w:rPr>
          <w:bCs/>
          <w:lang w:val="uk-UA"/>
        </w:rPr>
      </w:pPr>
      <w:r w:rsidRPr="00AE2775">
        <w:rPr>
          <w:bCs/>
          <w:lang w:val="uk-UA"/>
        </w:rPr>
        <w:t xml:space="preserve">Класифікація фінансових активів базується на комбінації бізнес-моделі управління активами та характеристик грошових потоків та визначає модель оцінки. Товариство після первісного визнання оцінює борговий фінансовий актив на основі бізнес-моделі та характеристик грошових потоків, передбачених договором, за: </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амортизованою собівартістю;</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в  іншому сукупному доході;</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через прибутки/збитки.</w:t>
      </w:r>
    </w:p>
    <w:p w:rsidR="00A77736" w:rsidRPr="00AE2775" w:rsidRDefault="00A77736" w:rsidP="00A77736">
      <w:pPr>
        <w:spacing w:before="120" w:after="120"/>
        <w:jc w:val="both"/>
        <w:rPr>
          <w:bCs/>
          <w:lang w:val="uk-UA"/>
        </w:rPr>
      </w:pPr>
      <w:r w:rsidRPr="00AE2775">
        <w:rPr>
          <w:bCs/>
          <w:lang w:val="uk-UA"/>
        </w:rPr>
        <w:t xml:space="preserve">Товариство визнає бізнес-модель не для кожного активу, а на рівні груп фінансових активів, якими управляє у сукупності для досягнення певної бізнес-цілі. </w:t>
      </w:r>
    </w:p>
    <w:p w:rsidR="00A77736" w:rsidRPr="00AE2775" w:rsidRDefault="00A77736" w:rsidP="00A77736">
      <w:pPr>
        <w:spacing w:before="120" w:after="120"/>
        <w:jc w:val="both"/>
        <w:rPr>
          <w:bCs/>
          <w:lang w:val="uk-UA"/>
        </w:rPr>
      </w:pPr>
      <w:r w:rsidRPr="00AE2775">
        <w:rPr>
          <w:bCs/>
          <w:lang w:val="uk-UA"/>
        </w:rPr>
        <w:t>Основна бізнес-модель, яку використовує Товариство – отримання контрактних грошових потоків.</w:t>
      </w:r>
    </w:p>
    <w:p w:rsidR="00A77736" w:rsidRPr="00AE2775" w:rsidRDefault="00A77736" w:rsidP="00A77736">
      <w:pPr>
        <w:spacing w:before="120" w:after="120"/>
        <w:jc w:val="both"/>
        <w:rPr>
          <w:b/>
          <w:bCs/>
          <w:lang w:val="uk-UA"/>
        </w:rPr>
      </w:pPr>
      <w:r w:rsidRPr="00AE2775">
        <w:rPr>
          <w:b/>
          <w:bCs/>
          <w:lang w:val="uk-UA"/>
        </w:rPr>
        <w:t>Первісна оцінка фінансових активів та фінансових зобов’язань.</w:t>
      </w:r>
    </w:p>
    <w:p w:rsidR="00A77736" w:rsidRPr="00AE2775" w:rsidRDefault="00A77736" w:rsidP="00A77736">
      <w:pPr>
        <w:spacing w:before="120" w:after="120"/>
        <w:jc w:val="both"/>
        <w:rPr>
          <w:bCs/>
          <w:lang w:val="uk-UA"/>
        </w:rPr>
      </w:pPr>
      <w:r w:rsidRPr="00AE2775">
        <w:rPr>
          <w:bCs/>
          <w:lang w:val="uk-UA"/>
        </w:rPr>
        <w:t xml:space="preserve">Під час первісного визнання фінансового активу або фінансового зобов’язання Товариство здійснює їх оцінку за </w:t>
      </w:r>
      <w:r w:rsidR="00561DB2" w:rsidRPr="00195D5E">
        <w:rPr>
          <w:bCs/>
          <w:lang w:val="uk-UA"/>
        </w:rPr>
        <w:t>амортизованою</w:t>
      </w:r>
      <w:r w:rsidRPr="00AE2775">
        <w:rPr>
          <w:bCs/>
          <w:lang w:val="uk-UA"/>
        </w:rPr>
        <w:t xml:space="preserve"> вартістю плюс витрати на операцію, які прямо відносяться до придбання фінансового активу чи фінансового зобов’язання. </w:t>
      </w:r>
      <w:r w:rsidR="00195D5E">
        <w:rPr>
          <w:bCs/>
          <w:lang w:val="uk-UA"/>
        </w:rPr>
        <w:t>Амортизована вартість</w:t>
      </w:r>
      <w:r w:rsidRPr="00AE2775">
        <w:rPr>
          <w:bCs/>
          <w:lang w:val="uk-UA"/>
        </w:rPr>
        <w:t xml:space="preserve"> вартість - </w:t>
      </w:r>
      <w:r w:rsidR="00195D5E" w:rsidRPr="00195D5E">
        <w:rPr>
          <w:color w:val="202124"/>
          <w:shd w:val="clear" w:color="auto" w:fill="FFFFFF"/>
          <w:lang w:val="uk-UA"/>
        </w:rPr>
        <w:t>це</w:t>
      </w:r>
      <w:r w:rsidR="00195D5E" w:rsidRPr="00195D5E">
        <w:rPr>
          <w:color w:val="202124"/>
          <w:shd w:val="clear" w:color="auto" w:fill="FFFFFF"/>
        </w:rPr>
        <w:t> </w:t>
      </w:r>
      <w:r w:rsidR="00195D5E" w:rsidRPr="00195D5E">
        <w:rPr>
          <w:bCs/>
          <w:color w:val="202124"/>
          <w:shd w:val="clear" w:color="auto" w:fill="FFFFFF"/>
          <w:lang w:val="uk-UA"/>
        </w:rPr>
        <w:t>вартість основного засобу за мінусом усієї накопиченої амортизації, яка була зафіксована щодо нього</w:t>
      </w:r>
      <w:r w:rsidR="00195D5E" w:rsidRPr="00195D5E">
        <w:rPr>
          <w:color w:val="202124"/>
          <w:shd w:val="clear" w:color="auto" w:fill="FFFFFF"/>
          <w:lang w:val="uk-UA"/>
        </w:rPr>
        <w:t>.</w:t>
      </w:r>
    </w:p>
    <w:p w:rsidR="00A77736" w:rsidRPr="00601BCC" w:rsidRDefault="00A77736" w:rsidP="00A77736">
      <w:pPr>
        <w:spacing w:before="120" w:after="120"/>
        <w:jc w:val="both"/>
        <w:rPr>
          <w:b/>
          <w:bCs/>
          <w:lang w:val="uk-UA"/>
        </w:rPr>
      </w:pPr>
      <w:r w:rsidRPr="00601BCC">
        <w:rPr>
          <w:b/>
          <w:bCs/>
          <w:lang w:val="uk-UA"/>
        </w:rPr>
        <w:t>Знецінення фінансових активів, модель очікуваних збитків.</w:t>
      </w:r>
      <w:r w:rsidR="001A2DED">
        <w:rPr>
          <w:b/>
          <w:bCs/>
          <w:lang w:val="uk-UA"/>
        </w:rPr>
        <w:t xml:space="preserve"> </w:t>
      </w:r>
    </w:p>
    <w:p w:rsidR="00A77736" w:rsidRPr="00601BCC" w:rsidRDefault="00A77736" w:rsidP="00A77736">
      <w:pPr>
        <w:spacing w:before="120" w:after="120"/>
        <w:jc w:val="both"/>
        <w:rPr>
          <w:bCs/>
          <w:lang w:val="uk-UA"/>
        </w:rPr>
      </w:pPr>
      <w:r w:rsidRPr="00601BCC">
        <w:rPr>
          <w:bCs/>
          <w:lang w:val="uk-UA"/>
        </w:rPr>
        <w:t xml:space="preserve">Основний принцип моделі «очікуваних збитків» полягає у відображені загальної картини погіршення або покращення кредитної якості фінансових інструментів. </w:t>
      </w:r>
    </w:p>
    <w:p w:rsidR="00A77736" w:rsidRPr="00601BCC" w:rsidRDefault="00A77736" w:rsidP="00A77736">
      <w:pPr>
        <w:spacing w:before="120" w:after="120"/>
        <w:jc w:val="both"/>
        <w:rPr>
          <w:bCs/>
          <w:lang w:val="uk-UA"/>
        </w:rPr>
      </w:pPr>
      <w:r w:rsidRPr="00601BCC">
        <w:rPr>
          <w:bCs/>
          <w:lang w:val="uk-UA"/>
        </w:rPr>
        <w:t>Сума очікуваних кредитних збитків, яка визнається у вигляді оціночного резерву, залежить від ступеню погіршення кредитної якості після первісного визнання. У відповідності із загальним підходом є дві бази оцінки:</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12 місяців (стадія 1), яка застосовується з моменту первісного визнання за умови відсутності значного погіршення кредитної якості;</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всього строку дії фінансового інструменту (стадія 2 та 3), яка застосовується у разі значного збільшення кредитного ризику.</w:t>
      </w:r>
    </w:p>
    <w:p w:rsidR="00A77736" w:rsidRPr="00601BCC" w:rsidRDefault="00A77736" w:rsidP="00A77736">
      <w:pPr>
        <w:spacing w:before="120" w:after="120"/>
        <w:jc w:val="both"/>
        <w:rPr>
          <w:bCs/>
          <w:lang w:val="uk-UA"/>
        </w:rPr>
      </w:pPr>
      <w:r w:rsidRPr="00601BCC">
        <w:rPr>
          <w:bCs/>
          <w:lang w:val="uk-UA"/>
        </w:rPr>
        <w:t xml:space="preserve">Розрахунок кредитних збитків згідно з МСФЗ 9 потребує використання історичної, поточної та прогнозної інформації. </w:t>
      </w:r>
    </w:p>
    <w:p w:rsidR="00A77736" w:rsidRPr="00601BCC" w:rsidRDefault="00A77736" w:rsidP="00616C7B">
      <w:pPr>
        <w:jc w:val="both"/>
        <w:rPr>
          <w:bCs/>
          <w:lang w:val="uk-UA"/>
        </w:rPr>
      </w:pPr>
      <w:r w:rsidRPr="00601BCC">
        <w:rPr>
          <w:bCs/>
          <w:lang w:val="uk-UA"/>
        </w:rPr>
        <w:t>Знецінені фінансові активи – це фінансові активи, за якими є об’єктивні докази  збитку чи спостерігається одна або декілька подій, що мають негативний вплив на очікувані грошові потоки за таким фінансовим активом. Підтвердженням знецінення фінансового активу є, зокрема, спостережні дані про такі події:</w:t>
      </w:r>
    </w:p>
    <w:p w:rsidR="00A77736" w:rsidRPr="00601BCC" w:rsidRDefault="00A77736" w:rsidP="00616C7B">
      <w:pPr>
        <w:widowControl/>
        <w:numPr>
          <w:ilvl w:val="0"/>
          <w:numId w:val="27"/>
        </w:numPr>
        <w:suppressAutoHyphens w:val="0"/>
        <w:jc w:val="both"/>
        <w:rPr>
          <w:bCs/>
          <w:lang w:val="uk-UA"/>
        </w:rPr>
      </w:pPr>
      <w:r w:rsidRPr="00601BCC">
        <w:rPr>
          <w:bCs/>
          <w:lang w:val="uk-UA"/>
        </w:rPr>
        <w:t>значні  фінансові труднощі позичальника;</w:t>
      </w:r>
    </w:p>
    <w:p w:rsidR="00A77736" w:rsidRPr="00601BCC" w:rsidRDefault="00A77736" w:rsidP="00616C7B">
      <w:pPr>
        <w:widowControl/>
        <w:numPr>
          <w:ilvl w:val="0"/>
          <w:numId w:val="27"/>
        </w:numPr>
        <w:suppressAutoHyphens w:val="0"/>
        <w:jc w:val="both"/>
        <w:rPr>
          <w:bCs/>
          <w:lang w:val="uk-UA"/>
        </w:rPr>
      </w:pPr>
      <w:r w:rsidRPr="00601BCC">
        <w:rPr>
          <w:bCs/>
          <w:lang w:val="uk-UA"/>
        </w:rPr>
        <w:t>порушення умов договору, такому як дефолт або прострочення платежу.</w:t>
      </w:r>
    </w:p>
    <w:p w:rsidR="00A77736" w:rsidRPr="00601BCC" w:rsidRDefault="00A77736" w:rsidP="00A77736">
      <w:pPr>
        <w:spacing w:before="120" w:after="120"/>
        <w:jc w:val="both"/>
        <w:rPr>
          <w:bCs/>
          <w:lang w:val="uk-UA"/>
        </w:rPr>
      </w:pPr>
      <w:r w:rsidRPr="00601BCC">
        <w:rPr>
          <w:bCs/>
          <w:lang w:val="uk-UA"/>
        </w:rPr>
        <w:t xml:space="preserve">Кредитний збиток – це різниця між теперішньою вартістю грошових потоків згідно з умовами договору та теперішньою вартістю грошових потоків, які Товариство очікує отримати, дисконтованих за ефективною ставкою. </w:t>
      </w:r>
    </w:p>
    <w:p w:rsidR="00A77736" w:rsidRPr="00601BCC" w:rsidRDefault="00A77736" w:rsidP="00A77736">
      <w:pPr>
        <w:spacing w:before="120" w:after="120"/>
        <w:jc w:val="both"/>
        <w:rPr>
          <w:b/>
          <w:bCs/>
          <w:lang w:val="uk-UA"/>
        </w:rPr>
      </w:pPr>
      <w:r w:rsidRPr="00601BCC">
        <w:rPr>
          <w:b/>
          <w:bCs/>
          <w:lang w:val="uk-UA"/>
        </w:rPr>
        <w:lastRenderedPageBreak/>
        <w:t>Припинення визнання фінансових інструментів.</w:t>
      </w:r>
    </w:p>
    <w:p w:rsidR="00A77736" w:rsidRPr="00601BCC" w:rsidRDefault="00A77736" w:rsidP="00A77736">
      <w:pPr>
        <w:spacing w:before="120" w:after="120"/>
        <w:jc w:val="both"/>
        <w:rPr>
          <w:bCs/>
          <w:lang w:val="uk-UA"/>
        </w:rPr>
      </w:pPr>
      <w:r w:rsidRPr="00601BCC">
        <w:rPr>
          <w:bCs/>
          <w:lang w:val="uk-UA"/>
        </w:rPr>
        <w:t>Товариство припиняє визнавати фінансові активи, коли активи погашені  або права на отримання грошових потоків від  активів втратили свою чинність.</w:t>
      </w:r>
    </w:p>
    <w:p w:rsidR="00A77736" w:rsidRPr="00601BCC" w:rsidRDefault="00A77736" w:rsidP="00A77736">
      <w:pPr>
        <w:spacing w:before="120" w:after="120"/>
        <w:jc w:val="both"/>
        <w:rPr>
          <w:bCs/>
          <w:lang w:val="uk-UA"/>
        </w:rPr>
      </w:pPr>
      <w:r w:rsidRPr="00601BCC">
        <w:rPr>
          <w:bCs/>
          <w:lang w:val="uk-UA"/>
        </w:rPr>
        <w:t>Припинення визнання фінансового зобов’язання, коли фінансове зобов’язання припиняється, тобто, якщо заборгованість погашено, анульовано або строк її дії закінчується.</w:t>
      </w:r>
    </w:p>
    <w:p w:rsidR="00A77736" w:rsidRPr="00601BCC" w:rsidRDefault="00A77736" w:rsidP="00A77736">
      <w:pPr>
        <w:spacing w:before="120" w:after="120"/>
        <w:jc w:val="both"/>
        <w:rPr>
          <w:b/>
          <w:bCs/>
          <w:lang w:val="uk-UA"/>
        </w:rPr>
      </w:pPr>
      <w:r w:rsidRPr="00601BCC">
        <w:rPr>
          <w:b/>
          <w:bCs/>
          <w:lang w:val="uk-UA"/>
        </w:rPr>
        <w:t xml:space="preserve">Грошові кошти та їх еквіваленти.  </w:t>
      </w:r>
    </w:p>
    <w:p w:rsidR="00A77736" w:rsidRPr="00601BCC" w:rsidRDefault="00A77736" w:rsidP="00A77736">
      <w:pPr>
        <w:spacing w:before="120" w:after="120"/>
        <w:jc w:val="both"/>
        <w:rPr>
          <w:color w:val="000000"/>
          <w:lang w:val="uk-UA"/>
        </w:rPr>
      </w:pPr>
      <w:r w:rsidRPr="00601BCC">
        <w:rPr>
          <w:color w:val="000000"/>
          <w:lang w:val="uk-UA"/>
        </w:rPr>
        <w:t>Грошові кошти та їх еквіваленти являють собою активи, які можна конвертувати у відому суму готівки за першою вимогою і яким притаманний ризик зміни вартості. Грошові кошти та їх еквіваленти включають залишки на рахунках в банку, які не є обмеженими для використання та грошові кошти в касах. Усі грошові кошти, використання яких будь-яким чином є обмеженим, не включаються до складу грошових коштів та їх еквівалентів. Грошові кошти та їх еквіваленти обліковуються за амортизованою вартістю з використанням ефективної ставки відсотка.</w:t>
      </w:r>
    </w:p>
    <w:p w:rsidR="00A77736" w:rsidRPr="00601BCC" w:rsidRDefault="00A77736" w:rsidP="00A77736">
      <w:pPr>
        <w:spacing w:before="120" w:after="120"/>
        <w:jc w:val="both"/>
        <w:rPr>
          <w:b/>
          <w:bCs/>
          <w:i/>
          <w:lang w:val="uk-UA"/>
        </w:rPr>
      </w:pPr>
      <w:r w:rsidRPr="00601BCC">
        <w:rPr>
          <w:b/>
          <w:color w:val="000000"/>
          <w:lang w:val="uk-UA"/>
        </w:rPr>
        <w:t xml:space="preserve">Кредити та заборгованість клієнтів. </w:t>
      </w:r>
      <w:r w:rsidRPr="00601BCC">
        <w:rPr>
          <w:b/>
          <w:bCs/>
          <w:i/>
          <w:lang w:val="uk-UA"/>
        </w:rPr>
        <w:t>МСБО 32 «Фінансові інструменти: подання», МСФЗ 9 «Фінансові інструменти».</w:t>
      </w:r>
    </w:p>
    <w:p w:rsidR="00A77736" w:rsidRPr="00601BCC" w:rsidRDefault="00A77736" w:rsidP="00A77736">
      <w:pPr>
        <w:spacing w:before="120" w:after="120"/>
        <w:jc w:val="both"/>
        <w:rPr>
          <w:bCs/>
          <w:lang w:val="uk-UA"/>
        </w:rPr>
      </w:pPr>
      <w:r w:rsidRPr="00601BCC">
        <w:rPr>
          <w:color w:val="000000"/>
          <w:lang w:val="uk-UA"/>
        </w:rPr>
        <w:t xml:space="preserve">Кредити та аванси клієнтам обліковуються, коли Товариство надає грошові кошти клієнтам з метою придбання або створення дебіторської заборгованості, яка не пов’язана з похідними  фінансовими інструментами, не котирується на відкритому ринку та має бути погашена на встановлену чи визначену дату; про цьому Товариство не має намір здійснювати торгові операції з цією дебіторською заборгованістю. </w:t>
      </w:r>
      <w:r w:rsidRPr="00601BCC">
        <w:rPr>
          <w:bCs/>
          <w:lang w:val="uk-UA"/>
        </w:rPr>
        <w:t xml:space="preserve">Бізнес-модель, яка застосовується Товариством для управління кредитним портфелем – отримання грошових коштів. Кредити та аванси клієнтам обліковуються за амортизованою вартістю з використанням ефективної ставки відсотка. </w:t>
      </w:r>
    </w:p>
    <w:p w:rsidR="00A77736" w:rsidRPr="00601BCC" w:rsidRDefault="00A77736" w:rsidP="00A77736">
      <w:pPr>
        <w:spacing w:before="120" w:after="120"/>
        <w:jc w:val="both"/>
        <w:rPr>
          <w:b/>
          <w:bCs/>
          <w:i/>
          <w:lang w:val="uk-UA"/>
        </w:rPr>
      </w:pPr>
      <w:r w:rsidRPr="00601BCC">
        <w:rPr>
          <w:b/>
          <w:bCs/>
          <w:lang w:val="uk-UA"/>
        </w:rPr>
        <w:t xml:space="preserve">Основні засоби, амортизація. </w:t>
      </w:r>
      <w:r w:rsidRPr="00601BCC">
        <w:rPr>
          <w:b/>
          <w:bCs/>
          <w:i/>
          <w:lang w:val="uk-UA"/>
        </w:rPr>
        <w:t>МСБО 16 «Основні засоби».</w:t>
      </w:r>
    </w:p>
    <w:p w:rsidR="00A77736" w:rsidRDefault="00A77736" w:rsidP="00A77736">
      <w:pPr>
        <w:spacing w:before="120" w:after="120"/>
        <w:jc w:val="both"/>
        <w:rPr>
          <w:color w:val="FF0000"/>
          <w:lang w:val="uk-UA"/>
        </w:rPr>
      </w:pPr>
      <w:r w:rsidRPr="00601BCC">
        <w:rPr>
          <w:color w:val="000000"/>
          <w:lang w:val="uk-UA"/>
        </w:rPr>
        <w:t xml:space="preserve">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функцій, очікуваний строк корисного використання (експлуатації) яких більше одного року </w:t>
      </w:r>
      <w:r w:rsidR="0050162C">
        <w:rPr>
          <w:color w:val="000000"/>
          <w:lang w:val="uk-UA"/>
        </w:rPr>
        <w:t>згідно з обліковою політикой.</w:t>
      </w:r>
    </w:p>
    <w:p w:rsidR="00A77736" w:rsidRPr="00601BCC" w:rsidRDefault="00A77736" w:rsidP="00A77736">
      <w:pPr>
        <w:spacing w:before="120" w:after="120"/>
        <w:jc w:val="both"/>
        <w:rPr>
          <w:bCs/>
          <w:lang w:val="uk-UA"/>
        </w:rPr>
      </w:pPr>
      <w:r w:rsidRPr="00601BCC">
        <w:rPr>
          <w:bCs/>
          <w:lang w:val="uk-UA"/>
        </w:rPr>
        <w:t xml:space="preserve">Придбані (створені) основні засоби визнаються за первісною вартістю. Після первісного визнання подальший облік основних засобів, здійснюється за первісною вартістю (собівартістю) з вирахуванням накопиченої амортизації та накопичених збитків від зменшення корисності. </w:t>
      </w:r>
    </w:p>
    <w:p w:rsidR="00A77736" w:rsidRPr="00601BCC" w:rsidRDefault="00A77736" w:rsidP="00A77736">
      <w:pPr>
        <w:spacing w:before="120" w:after="120"/>
        <w:jc w:val="both"/>
        <w:rPr>
          <w:bCs/>
          <w:lang w:val="uk-UA"/>
        </w:rPr>
      </w:pPr>
      <w:r w:rsidRPr="00601BCC">
        <w:rPr>
          <w:bCs/>
          <w:lang w:val="uk-UA"/>
        </w:rPr>
        <w:t xml:space="preserve"> Витрати, що здійснюються для підтримання об’єктів основних засобів у придатному для використання стані та одержання визначеної суми майбутніх економічних вигод від його використання, включаються до складу витрат звітного періоду і не впливають на його залишкову вартість. </w:t>
      </w:r>
    </w:p>
    <w:p w:rsidR="00A77736" w:rsidRPr="00601BCC" w:rsidRDefault="00A77736" w:rsidP="00A77736">
      <w:pPr>
        <w:spacing w:before="120" w:after="120"/>
        <w:jc w:val="both"/>
        <w:rPr>
          <w:bCs/>
          <w:lang w:val="uk-UA"/>
        </w:rPr>
      </w:pPr>
      <w:r w:rsidRPr="00601BCC">
        <w:rPr>
          <w:bCs/>
          <w:lang w:val="uk-UA"/>
        </w:rPr>
        <w:t xml:space="preserve">Облік витрат, пов’язаних із поліпшенням основних засобів, здійснюється за  рахунками обліку капітальних інвестицій. Первісна вартість основних засобів збільшується на суму витрат, пов’язаних із поліпшенням (модернізація, модифікація, добудова, дообладнання, реконструкція тощо), у результаті чого збільшуються майбутні економічні вигоди, первісно очікувані від використання цього об’єкта.    </w:t>
      </w:r>
    </w:p>
    <w:p w:rsidR="00A77736" w:rsidRPr="00601BCC" w:rsidRDefault="00A77736" w:rsidP="00C42918">
      <w:pPr>
        <w:jc w:val="both"/>
        <w:rPr>
          <w:bCs/>
          <w:lang w:val="uk-UA"/>
        </w:rPr>
      </w:pPr>
      <w:r w:rsidRPr="00601BCC">
        <w:rPr>
          <w:bCs/>
          <w:lang w:val="uk-UA"/>
        </w:rPr>
        <w:t>Амортизація. Амортизація основних засобів розраховується лінійним методом з метою рівномірного зменшення первісної вартості протягом строку їх корисного використання (експлуатації) за наступними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7"/>
      </w:tblGrid>
      <w:tr w:rsidR="00A77736" w:rsidRPr="00601BCC" w:rsidTr="00F83824">
        <w:tc>
          <w:tcPr>
            <w:tcW w:w="7196" w:type="dxa"/>
            <w:shd w:val="clear" w:color="auto" w:fill="auto"/>
          </w:tcPr>
          <w:p w:rsidR="00A77736" w:rsidRPr="00601BCC" w:rsidRDefault="00A77736" w:rsidP="00C42918">
            <w:pPr>
              <w:jc w:val="center"/>
              <w:rPr>
                <w:bCs/>
                <w:i/>
                <w:lang w:val="uk-UA"/>
              </w:rPr>
            </w:pPr>
            <w:r w:rsidRPr="00601BCC">
              <w:rPr>
                <w:bCs/>
                <w:i/>
                <w:lang w:val="uk-UA"/>
              </w:rPr>
              <w:t>Вид</w:t>
            </w:r>
          </w:p>
        </w:tc>
        <w:tc>
          <w:tcPr>
            <w:tcW w:w="2657" w:type="dxa"/>
            <w:shd w:val="clear" w:color="auto" w:fill="auto"/>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Персональні комп’ютери, ноутбуки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lastRenderedPageBreak/>
              <w:t>Телефони, факси, копіювальні апарати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Сервери, програмно-технічні комплекси, мережеве обладнання, термінали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Офісне обладнання, меблі</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Інші основні засоби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bl>
    <w:p w:rsidR="00A77736" w:rsidRPr="00601BCC" w:rsidRDefault="00A77736" w:rsidP="00A77736">
      <w:pPr>
        <w:spacing w:before="120" w:after="120"/>
        <w:jc w:val="both"/>
        <w:rPr>
          <w:b/>
          <w:bCs/>
          <w:lang w:val="uk-UA"/>
        </w:rPr>
      </w:pPr>
      <w:r w:rsidRPr="00601BCC">
        <w:rPr>
          <w:b/>
          <w:bCs/>
          <w:lang w:val="uk-UA"/>
        </w:rPr>
        <w:t xml:space="preserve">Нематеріальні активи. </w:t>
      </w:r>
      <w:r w:rsidRPr="00601BCC">
        <w:rPr>
          <w:b/>
          <w:bCs/>
          <w:i/>
          <w:lang w:val="uk-UA"/>
        </w:rPr>
        <w:t>МСБО 38 «Нематеріальні активи».</w:t>
      </w:r>
      <w:r w:rsidRPr="00601BCC">
        <w:rPr>
          <w:b/>
          <w:bCs/>
          <w:lang w:val="uk-UA"/>
        </w:rPr>
        <w:t xml:space="preserve"> </w:t>
      </w:r>
    </w:p>
    <w:p w:rsidR="00A77736" w:rsidRPr="00601BCC" w:rsidRDefault="00A77736" w:rsidP="00A77736">
      <w:pPr>
        <w:spacing w:before="120" w:after="120"/>
        <w:jc w:val="both"/>
        <w:rPr>
          <w:lang w:val="uk-UA"/>
        </w:rPr>
      </w:pPr>
      <w:r w:rsidRPr="00601BCC">
        <w:rPr>
          <w:lang w:val="uk-UA"/>
        </w:rPr>
        <w:t xml:space="preserve">Придбані нематеріальні активи первісно визнаються за собівартістю. Після первісного визнання нематеріальні активи відображаються за собівартістю за вирахуванням накопиченої амортизації або будь-яких накопичених збитків від зменшення корисності. </w:t>
      </w:r>
    </w:p>
    <w:p w:rsidR="00A77736" w:rsidRPr="00601BCC" w:rsidRDefault="00A77736" w:rsidP="00A77736">
      <w:pPr>
        <w:spacing w:before="120" w:after="120"/>
        <w:jc w:val="both"/>
        <w:rPr>
          <w:lang w:val="uk-UA"/>
        </w:rPr>
      </w:pPr>
      <w:r w:rsidRPr="00601BCC">
        <w:rPr>
          <w:lang w:val="uk-UA"/>
        </w:rPr>
        <w:t xml:space="preserve">Нематеріальні активи, створені усередині компанії, за винятком капіталізованих витрат на розробку, не капіталізуються, і відповідні витрати відображаються у прибутках та збитках за період, у якому вони виникли. </w:t>
      </w:r>
    </w:p>
    <w:p w:rsidR="00A77736" w:rsidRPr="00601BCC" w:rsidRDefault="00A77736" w:rsidP="00A77736">
      <w:pPr>
        <w:spacing w:before="120" w:after="120"/>
        <w:jc w:val="both"/>
        <w:rPr>
          <w:lang w:val="uk-UA"/>
        </w:rPr>
      </w:pPr>
      <w:r w:rsidRPr="00601BCC">
        <w:rPr>
          <w:lang w:val="uk-UA"/>
        </w:rPr>
        <w:t xml:space="preserve">Нематеріальні активи з визначеним строком корисного використання амортизуються протягом усього строку їх корисного використання. Строки корисного використання та методи амортизації нематеріальних активів переглядаються принаймні раз на рік і коригуються на перспективній основі, якщо це необхідно. </w:t>
      </w:r>
    </w:p>
    <w:p w:rsidR="00A77736" w:rsidRPr="00601BCC" w:rsidRDefault="00A77736" w:rsidP="00C42918">
      <w:pPr>
        <w:jc w:val="both"/>
        <w:rPr>
          <w:lang w:val="uk-UA"/>
        </w:rPr>
      </w:pPr>
      <w:r w:rsidRPr="00601BCC">
        <w:rPr>
          <w:lang w:val="uk-UA"/>
        </w:rPr>
        <w:t xml:space="preserve">Амортизація нараховується за прямолінійним методом протягом таких очікуваних строків корисного використання відповідних активів: </w:t>
      </w:r>
    </w:p>
    <w:p w:rsidR="00A77736" w:rsidRPr="00601BCC" w:rsidRDefault="00A77736" w:rsidP="00C42918">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A77736" w:rsidRPr="00601BCC" w:rsidTr="00616C7B">
        <w:tc>
          <w:tcPr>
            <w:tcW w:w="4786" w:type="dxa"/>
          </w:tcPr>
          <w:p w:rsidR="00A77736" w:rsidRPr="00601BCC" w:rsidRDefault="00A77736" w:rsidP="00C42918">
            <w:pPr>
              <w:jc w:val="center"/>
              <w:rPr>
                <w:bCs/>
                <w:i/>
                <w:lang w:val="uk-UA"/>
              </w:rPr>
            </w:pPr>
            <w:r w:rsidRPr="00601BCC">
              <w:rPr>
                <w:bCs/>
                <w:i/>
                <w:lang w:val="uk-UA"/>
              </w:rPr>
              <w:t>Вид</w:t>
            </w:r>
          </w:p>
        </w:tc>
        <w:tc>
          <w:tcPr>
            <w:tcW w:w="4785" w:type="dxa"/>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616C7B">
        <w:tc>
          <w:tcPr>
            <w:tcW w:w="4786" w:type="dxa"/>
          </w:tcPr>
          <w:p w:rsidR="00A77736" w:rsidRPr="00601BCC" w:rsidRDefault="00A77736" w:rsidP="00C42918">
            <w:pPr>
              <w:jc w:val="both"/>
              <w:rPr>
                <w:lang w:val="uk-UA"/>
              </w:rPr>
            </w:pPr>
            <w:r w:rsidRPr="00601BCC">
              <w:rPr>
                <w:lang w:val="uk-UA"/>
              </w:rPr>
              <w:t>Програмне забезпечення</w:t>
            </w:r>
          </w:p>
        </w:tc>
        <w:tc>
          <w:tcPr>
            <w:tcW w:w="4785" w:type="dxa"/>
          </w:tcPr>
          <w:p w:rsidR="00A77736" w:rsidRPr="00601BCC" w:rsidRDefault="00A77736" w:rsidP="00C42918">
            <w:pPr>
              <w:jc w:val="right"/>
              <w:rPr>
                <w:lang w:val="uk-UA"/>
              </w:rPr>
            </w:pPr>
            <w:r w:rsidRPr="00601BCC">
              <w:rPr>
                <w:lang w:val="uk-UA"/>
              </w:rPr>
              <w:t>4</w:t>
            </w:r>
          </w:p>
        </w:tc>
      </w:tr>
    </w:tbl>
    <w:p w:rsidR="00A77736" w:rsidRPr="00601BCC" w:rsidRDefault="00A77736" w:rsidP="00A77736">
      <w:pPr>
        <w:spacing w:before="120" w:after="120"/>
        <w:jc w:val="both"/>
        <w:rPr>
          <w:lang w:val="uk-UA"/>
        </w:rPr>
      </w:pPr>
      <w:r w:rsidRPr="00601BCC">
        <w:rPr>
          <w:lang w:val="uk-UA"/>
        </w:rPr>
        <w:t xml:space="preserve">Доходи або витрати від припинення визнання нематеріального активу оцінюються як різниця між чистою виручкою від вибуття активу та балансовою вартістю активу і визнаються у звіті про сукупний дохід як інші витрати. </w:t>
      </w:r>
    </w:p>
    <w:p w:rsidR="00A77736" w:rsidRPr="00601BCC" w:rsidRDefault="00A77736" w:rsidP="00A77736">
      <w:pPr>
        <w:spacing w:before="120" w:after="120"/>
        <w:jc w:val="both"/>
        <w:rPr>
          <w:b/>
          <w:bCs/>
          <w:lang w:val="uk-UA"/>
        </w:rPr>
      </w:pPr>
      <w:r w:rsidRPr="00601BCC">
        <w:rPr>
          <w:b/>
          <w:bCs/>
          <w:lang w:val="uk-UA"/>
        </w:rPr>
        <w:t xml:space="preserve">Резерви за зобов’язаннями. </w:t>
      </w:r>
      <w:r w:rsidRPr="00601BCC">
        <w:rPr>
          <w:b/>
          <w:bCs/>
          <w:i/>
          <w:lang w:val="uk-UA"/>
        </w:rPr>
        <w:t>МСБО 37 «Резерви, умовні зобов’язання та умовні активи».</w:t>
      </w:r>
    </w:p>
    <w:p w:rsidR="00A77736" w:rsidRPr="00601BCC" w:rsidRDefault="00A77736" w:rsidP="00A77736">
      <w:pPr>
        <w:spacing w:before="120" w:after="120"/>
        <w:jc w:val="both"/>
        <w:rPr>
          <w:bCs/>
          <w:lang w:val="uk-UA"/>
        </w:rPr>
      </w:pPr>
      <w:r w:rsidRPr="00601BCC">
        <w:rPr>
          <w:bCs/>
          <w:lang w:val="uk-UA"/>
        </w:rPr>
        <w:t>Резерви за зобов’язаннями, що визнаються в балансі Товариства, є забезпеченнями їх виконання в майбутньому, та свідчать про можливі втрати внаслідок вибуття ресурсів, пов’язаного з виконанням Товариством таких зобов’язань.</w:t>
      </w:r>
    </w:p>
    <w:p w:rsidR="00A77736" w:rsidRPr="00601BCC" w:rsidRDefault="00A77736" w:rsidP="00616C7B">
      <w:pPr>
        <w:jc w:val="both"/>
        <w:rPr>
          <w:bCs/>
          <w:lang w:val="uk-UA"/>
        </w:rPr>
      </w:pPr>
      <w:r w:rsidRPr="00601BCC">
        <w:rPr>
          <w:bCs/>
          <w:lang w:val="uk-UA"/>
        </w:rPr>
        <w:t>Товариство визнає забезпечення (резерв), якщо одночасно виконуються такі умови:</w:t>
      </w:r>
    </w:p>
    <w:p w:rsidR="00A77736" w:rsidRPr="00601BCC" w:rsidRDefault="00A77736" w:rsidP="00616C7B">
      <w:pPr>
        <w:widowControl/>
        <w:numPr>
          <w:ilvl w:val="0"/>
          <w:numId w:val="30"/>
        </w:numPr>
        <w:suppressAutoHyphens w:val="0"/>
        <w:jc w:val="both"/>
        <w:rPr>
          <w:bCs/>
          <w:lang w:val="uk-UA"/>
        </w:rPr>
      </w:pPr>
      <w:r w:rsidRPr="00601BCC">
        <w:rPr>
          <w:bCs/>
          <w:lang w:val="uk-UA"/>
        </w:rPr>
        <w:t>Товариство має зобов’язання (юридичне чи конструктивне)внаслідок минулої події;</w:t>
      </w:r>
    </w:p>
    <w:p w:rsidR="00A77736" w:rsidRPr="00601BCC" w:rsidRDefault="00A77736" w:rsidP="00616C7B">
      <w:pPr>
        <w:widowControl/>
        <w:numPr>
          <w:ilvl w:val="0"/>
          <w:numId w:val="30"/>
        </w:numPr>
        <w:suppressAutoHyphens w:val="0"/>
        <w:jc w:val="both"/>
        <w:rPr>
          <w:bCs/>
          <w:lang w:val="uk-UA"/>
        </w:rPr>
      </w:pPr>
      <w:r w:rsidRPr="00601BCC">
        <w:rPr>
          <w:bCs/>
          <w:lang w:val="uk-UA"/>
        </w:rPr>
        <w:t>Імовірно, що вибуття ресурсів, що містять економічні вигоди, буде необхідним для виконання зобов’язання;</w:t>
      </w:r>
    </w:p>
    <w:p w:rsidR="00A77736" w:rsidRPr="00601BCC" w:rsidRDefault="00A77736" w:rsidP="00616C7B">
      <w:pPr>
        <w:widowControl/>
        <w:numPr>
          <w:ilvl w:val="0"/>
          <w:numId w:val="30"/>
        </w:numPr>
        <w:suppressAutoHyphens w:val="0"/>
        <w:jc w:val="both"/>
        <w:rPr>
          <w:bCs/>
          <w:lang w:val="uk-UA"/>
        </w:rPr>
      </w:pPr>
      <w:r w:rsidRPr="00601BCC">
        <w:rPr>
          <w:bCs/>
          <w:lang w:val="uk-UA"/>
        </w:rPr>
        <w:t xml:space="preserve">Можна достовірно оцінити суму зобов’язання. </w:t>
      </w:r>
    </w:p>
    <w:p w:rsidR="00A77736" w:rsidRPr="00601BCC" w:rsidRDefault="00A77736" w:rsidP="00A77736">
      <w:pPr>
        <w:spacing w:before="120" w:after="120"/>
        <w:jc w:val="both"/>
        <w:rPr>
          <w:bCs/>
          <w:lang w:val="uk-UA"/>
        </w:rPr>
      </w:pPr>
      <w:r w:rsidRPr="00601BCC">
        <w:rPr>
          <w:bCs/>
          <w:lang w:val="uk-UA"/>
        </w:rPr>
        <w:t>Товариство не визнає забезпечення для майбутніх операційних збитків.</w:t>
      </w:r>
    </w:p>
    <w:p w:rsidR="00A77736" w:rsidRPr="00601BCC" w:rsidRDefault="00A77736" w:rsidP="00A77736">
      <w:pPr>
        <w:spacing w:before="120" w:after="120"/>
        <w:jc w:val="both"/>
        <w:rPr>
          <w:bCs/>
          <w:lang w:val="uk-UA"/>
        </w:rPr>
      </w:pPr>
      <w:r w:rsidRPr="00601BCC">
        <w:rPr>
          <w:bCs/>
          <w:lang w:val="uk-UA"/>
        </w:rPr>
        <w:t>Умовні зобов’язання не відображаються у звіті про фінансовий стан. Розкриття інформації щодо таких зобов’язань надається, за винятком випадків, коли відтік ресурсів для виконання таких зобов’язань є малоймовірним. Умовні активи не визнаються у звіті про фінансовий стан. Розкриття інформації щодо таких активів надається, коли надходження пов’язаних із ними економічних вигод є ймовірним.</w:t>
      </w:r>
    </w:p>
    <w:p w:rsidR="00A77736" w:rsidRPr="00601BCC" w:rsidRDefault="00A77736" w:rsidP="00A77736">
      <w:pPr>
        <w:spacing w:before="120" w:after="120"/>
        <w:jc w:val="both"/>
        <w:rPr>
          <w:b/>
          <w:bCs/>
          <w:i/>
          <w:lang w:val="uk-UA"/>
        </w:rPr>
      </w:pPr>
      <w:r w:rsidRPr="00601BCC">
        <w:rPr>
          <w:b/>
          <w:bCs/>
          <w:lang w:val="uk-UA"/>
        </w:rPr>
        <w:t xml:space="preserve">Податок на прибуток. </w:t>
      </w:r>
      <w:r w:rsidRPr="00601BCC">
        <w:rPr>
          <w:b/>
          <w:bCs/>
          <w:i/>
          <w:lang w:val="uk-UA"/>
        </w:rPr>
        <w:t>МСБО 12 «Податки на прибуток»</w:t>
      </w:r>
    </w:p>
    <w:p w:rsidR="00A77736" w:rsidRPr="00601BCC" w:rsidRDefault="00A77736" w:rsidP="00A77736">
      <w:pPr>
        <w:spacing w:before="120" w:after="120"/>
        <w:jc w:val="both"/>
        <w:rPr>
          <w:bCs/>
          <w:lang w:val="uk-UA"/>
        </w:rPr>
      </w:pPr>
      <w:r w:rsidRPr="00601BCC">
        <w:rPr>
          <w:bCs/>
          <w:lang w:val="uk-UA"/>
        </w:rPr>
        <w:t xml:space="preserve"> Податок на прибуток відображається відповідно до вимог законодавства, які діяли або фактично були введені в дію станом на звітну дату. Витрати з податку на прибуток включають поточний податок і відображаються у звіті про прибутки та збитки, крім випадків, коли вони відображаються безпосередньо у складі іншого сукупного доходу.</w:t>
      </w:r>
    </w:p>
    <w:p w:rsidR="00A77736" w:rsidRPr="00601BCC" w:rsidRDefault="00A77736" w:rsidP="00A77736">
      <w:pPr>
        <w:spacing w:before="120" w:after="120"/>
        <w:jc w:val="both"/>
        <w:rPr>
          <w:bCs/>
          <w:lang w:val="uk-UA"/>
        </w:rPr>
      </w:pPr>
      <w:r w:rsidRPr="00601BCC">
        <w:rPr>
          <w:bCs/>
          <w:lang w:val="uk-UA"/>
        </w:rPr>
        <w:t xml:space="preserve">Поточні витрати з податку на прибуток являють собою суму, що, як очікується, має бути сплачена податковим органам або відшкодована ними стосовно оподаткованого прибутку чи </w:t>
      </w:r>
      <w:r w:rsidRPr="00601BCC">
        <w:rPr>
          <w:bCs/>
          <w:lang w:val="uk-UA"/>
        </w:rPr>
        <w:lastRenderedPageBreak/>
        <w:t>збитку за поточний та попередні періоди. Інші податки, за винятком податку на прибуток, відображаються у складі адміністративних та інших витрат.</w:t>
      </w:r>
    </w:p>
    <w:p w:rsidR="00A77736" w:rsidRPr="00601BCC" w:rsidRDefault="00A77736" w:rsidP="00A77736">
      <w:pPr>
        <w:spacing w:before="120" w:after="120"/>
        <w:jc w:val="both"/>
        <w:rPr>
          <w:b/>
          <w:bCs/>
          <w:i/>
          <w:lang w:val="uk-UA"/>
        </w:rPr>
      </w:pPr>
      <w:r w:rsidRPr="00601BCC">
        <w:rPr>
          <w:b/>
          <w:bCs/>
          <w:lang w:val="uk-UA"/>
        </w:rPr>
        <w:t xml:space="preserve">Визнання доходів і витрат. </w:t>
      </w:r>
      <w:r w:rsidRPr="00601BCC">
        <w:rPr>
          <w:b/>
          <w:bCs/>
          <w:i/>
          <w:lang w:val="uk-UA"/>
        </w:rPr>
        <w:t>«Дохід», МСФЗ 9 «Фінансові інструменти».</w:t>
      </w:r>
    </w:p>
    <w:p w:rsidR="00A77736" w:rsidRPr="00601BCC" w:rsidRDefault="00A77736" w:rsidP="00A77736">
      <w:pPr>
        <w:spacing w:before="120" w:after="120"/>
        <w:jc w:val="both"/>
        <w:rPr>
          <w:lang w:val="uk-UA"/>
        </w:rPr>
      </w:pPr>
      <w:r w:rsidRPr="00601BCC">
        <w:rPr>
          <w:lang w:val="uk-UA"/>
        </w:rPr>
        <w:t>Доходи визнаються, якщо існує висока вірогідність того, що Товариство отримає економічні вигоди, а доходи можуть бути вірогідно визначені. Доходи оцінюються за справедливою вартістю винагороди, отриманої або такої, що підлягає отриманню, за вирахуванням знижок, бонусів і податків з продажу. Ці податки вважаються отриманими від імені державних органів. Доходи, головним чином, являють собою доходи від надання позик під відсотки.</w:t>
      </w:r>
    </w:p>
    <w:p w:rsidR="00A77736" w:rsidRPr="00601BCC" w:rsidRDefault="00A77736" w:rsidP="00A77736">
      <w:pPr>
        <w:spacing w:before="120" w:after="120"/>
        <w:jc w:val="both"/>
        <w:rPr>
          <w:lang w:val="uk-UA"/>
        </w:rPr>
      </w:pPr>
      <w:r w:rsidRPr="00601BCC">
        <w:rPr>
          <w:lang w:val="uk-UA"/>
        </w:rPr>
        <w:t xml:space="preserve">Витрати на позики, безпосередньо пов’язані з придбанням, будівництвом або виробництвом активу, який в силу необхідності вимагає тривалого періоду часу для його підготовки до планового використання або до продажу, капіталізуються як частина первісної вартості такого активу. Усі інші витрати на позики відносяться на витрати в тому звітному періоді, в якому вони були понесені. Витрати на позики складаються з відсотків та інших витрат, понесених у зв’язку з залученням позикових коштів. </w:t>
      </w:r>
    </w:p>
    <w:p w:rsidR="00A77736" w:rsidRPr="00601BCC" w:rsidRDefault="00A77736" w:rsidP="00A77736">
      <w:pPr>
        <w:spacing w:before="120" w:after="120"/>
        <w:jc w:val="both"/>
        <w:rPr>
          <w:bCs/>
          <w:lang w:val="uk-UA"/>
        </w:rPr>
      </w:pPr>
      <w:r w:rsidRPr="00601BCC">
        <w:rPr>
          <w:bCs/>
          <w:lang w:val="uk-UA"/>
        </w:rPr>
        <w:t xml:space="preserve">Прибутки або збитки від фінансових активів і фінансових зобов’язань, які обліковуються за амортизованою собівартістю, визнаються у Звіті про прибутки і збитки. </w:t>
      </w:r>
    </w:p>
    <w:p w:rsidR="00A77736" w:rsidRPr="00601BCC" w:rsidRDefault="00A77736" w:rsidP="00A77736">
      <w:pPr>
        <w:spacing w:before="120" w:after="120"/>
        <w:jc w:val="both"/>
        <w:rPr>
          <w:b/>
          <w:bCs/>
          <w:i/>
          <w:lang w:val="uk-UA"/>
        </w:rPr>
      </w:pPr>
      <w:r w:rsidRPr="00601BCC">
        <w:rPr>
          <w:b/>
          <w:bCs/>
          <w:lang w:val="uk-UA"/>
        </w:rPr>
        <w:t xml:space="preserve">Винагороди працівникам. </w:t>
      </w:r>
      <w:r w:rsidRPr="00601BCC">
        <w:rPr>
          <w:b/>
          <w:bCs/>
          <w:i/>
          <w:lang w:val="uk-UA"/>
        </w:rPr>
        <w:t>МСБО 19 «Виплати працівникам».</w:t>
      </w:r>
    </w:p>
    <w:p w:rsidR="00A77736" w:rsidRPr="00601BCC" w:rsidRDefault="00A77736" w:rsidP="00A77736">
      <w:pPr>
        <w:pStyle w:val="Default"/>
        <w:spacing w:before="120"/>
        <w:rPr>
          <w:rFonts w:ascii="Times New Roman" w:hAnsi="Times New Roman" w:cs="Times New Roman"/>
          <w:bCs/>
          <w:color w:val="auto"/>
        </w:rPr>
      </w:pPr>
      <w:r w:rsidRPr="00601BCC">
        <w:rPr>
          <w:rFonts w:ascii="Times New Roman" w:hAnsi="Times New Roman" w:cs="Times New Roman"/>
          <w:bCs/>
          <w:color w:val="auto"/>
        </w:rPr>
        <w:t>Всі винагороди працівникам Товариство враховуються як поточні, відповідно до МСБО 19 «Виплати працівникам».</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Виплати працівникам включають: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а) короткострокові виплати працівникам, такі як заробітна плата, оплачені щорічні відпустки та тимчасова непрацездатність;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б) виплати при звільненні.</w:t>
      </w:r>
    </w:p>
    <w:p w:rsidR="00A77736"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У процесі господарської діяльності Товариство сплачує обов'язкові внески до Державного Пенсійного фонду за своїх працівників, в розмірі передбаченому Законодавством України.</w:t>
      </w:r>
    </w:p>
    <w:p w:rsidR="004F12B6" w:rsidRDefault="004F12B6" w:rsidP="00FF5053">
      <w:pPr>
        <w:pStyle w:val="Default"/>
        <w:rPr>
          <w:rFonts w:ascii="Times New Roman" w:hAnsi="Times New Roman" w:cs="Times New Roman"/>
          <w:bCs/>
          <w:color w:val="FF0000"/>
        </w:rPr>
      </w:pPr>
    </w:p>
    <w:p w:rsidR="004F12B6" w:rsidRPr="00195D5E" w:rsidRDefault="004F12B6" w:rsidP="00FF5053">
      <w:pPr>
        <w:pStyle w:val="Default"/>
        <w:rPr>
          <w:rFonts w:ascii="Times New Roman" w:hAnsi="Times New Roman" w:cs="Times New Roman"/>
          <w:bCs/>
          <w:color w:val="auto"/>
        </w:rPr>
      </w:pPr>
      <w:r w:rsidRPr="00195D5E">
        <w:rPr>
          <w:rFonts w:ascii="Times New Roman" w:hAnsi="Times New Roman" w:cs="Times New Roman"/>
          <w:bCs/>
          <w:color w:val="auto"/>
        </w:rPr>
        <w:t>Облік впливу інфляції</w:t>
      </w:r>
      <w:r w:rsidR="00A004B8" w:rsidRPr="00195D5E">
        <w:rPr>
          <w:rFonts w:ascii="Times New Roman" w:hAnsi="Times New Roman" w:cs="Times New Roman"/>
          <w:bCs/>
          <w:color w:val="auto"/>
        </w:rPr>
        <w:t xml:space="preserve"> – Товариство враховує зовнішньоекономічні зміни, та ризики які передбачають фінансові вплив</w:t>
      </w:r>
      <w:r w:rsidR="001D7559" w:rsidRPr="00195D5E">
        <w:rPr>
          <w:rFonts w:ascii="Times New Roman" w:hAnsi="Times New Roman" w:cs="Times New Roman"/>
          <w:bCs/>
          <w:color w:val="auto"/>
        </w:rPr>
        <w:t>и на діяльність Т</w:t>
      </w:r>
      <w:r w:rsidR="00A004B8" w:rsidRPr="00195D5E">
        <w:rPr>
          <w:rFonts w:ascii="Times New Roman" w:hAnsi="Times New Roman" w:cs="Times New Roman"/>
          <w:bCs/>
          <w:color w:val="auto"/>
        </w:rPr>
        <w:t>овариства, та передбачає моделі поведінки на фінансовому ринку.</w:t>
      </w:r>
    </w:p>
    <w:p w:rsidR="004F12B6" w:rsidRPr="00195D5E" w:rsidRDefault="004F12B6" w:rsidP="00FF5053">
      <w:pPr>
        <w:pStyle w:val="Default"/>
        <w:rPr>
          <w:rFonts w:ascii="Times New Roman" w:hAnsi="Times New Roman" w:cs="Times New Roman"/>
          <w:bCs/>
          <w:color w:val="auto"/>
        </w:rPr>
      </w:pPr>
      <w:r w:rsidRPr="00195D5E">
        <w:rPr>
          <w:rFonts w:ascii="Times New Roman" w:hAnsi="Times New Roman" w:cs="Times New Roman"/>
          <w:bCs/>
          <w:color w:val="auto"/>
        </w:rPr>
        <w:t xml:space="preserve">Операції з пов’язаними сторонами </w:t>
      </w:r>
      <w:r w:rsidR="001D7559" w:rsidRPr="00195D5E">
        <w:rPr>
          <w:rFonts w:ascii="Times New Roman" w:hAnsi="Times New Roman" w:cs="Times New Roman"/>
          <w:bCs/>
          <w:color w:val="auto"/>
        </w:rPr>
        <w:t xml:space="preserve"> - Діючі договори про надання фінансових кредитів, протягом поточного року було частково погашено</w:t>
      </w:r>
      <w:r w:rsidR="00C50F4B" w:rsidRPr="00195D5E">
        <w:rPr>
          <w:rFonts w:ascii="Times New Roman" w:hAnsi="Times New Roman" w:cs="Times New Roman"/>
          <w:bCs/>
          <w:color w:val="auto"/>
        </w:rPr>
        <w:t>.</w:t>
      </w:r>
      <w:r w:rsidR="001D7559" w:rsidRPr="00195D5E">
        <w:rPr>
          <w:rFonts w:ascii="Times New Roman" w:hAnsi="Times New Roman" w:cs="Times New Roman"/>
          <w:bCs/>
          <w:color w:val="auto"/>
        </w:rPr>
        <w:t xml:space="preserve"> </w:t>
      </w:r>
      <w:r w:rsidR="00C50F4B" w:rsidRPr="00195D5E">
        <w:rPr>
          <w:rFonts w:ascii="Times New Roman" w:hAnsi="Times New Roman" w:cs="Times New Roman"/>
          <w:bCs/>
          <w:color w:val="auto"/>
        </w:rPr>
        <w:t xml:space="preserve">Працівники Товариства виявляють по діючім на сьогоднішній день договорам платоспроможних клієнтів для погашення дебіторської </w:t>
      </w:r>
      <w:r w:rsidR="001A2DED" w:rsidRPr="00195D5E">
        <w:rPr>
          <w:rFonts w:ascii="Times New Roman" w:hAnsi="Times New Roman" w:cs="Times New Roman"/>
          <w:bCs/>
          <w:color w:val="auto"/>
        </w:rPr>
        <w:t>заборгованості</w:t>
      </w:r>
      <w:r w:rsidR="00C50F4B" w:rsidRPr="00195D5E">
        <w:rPr>
          <w:rFonts w:ascii="Times New Roman" w:hAnsi="Times New Roman" w:cs="Times New Roman"/>
          <w:bCs/>
          <w:color w:val="auto"/>
        </w:rPr>
        <w:t>.</w:t>
      </w:r>
    </w:p>
    <w:p w:rsidR="004F12B6" w:rsidRPr="0042702F" w:rsidRDefault="0042702F" w:rsidP="00FF5053">
      <w:pPr>
        <w:pStyle w:val="Default"/>
        <w:rPr>
          <w:rFonts w:ascii="Times New Roman" w:hAnsi="Times New Roman" w:cs="Times New Roman"/>
          <w:bCs/>
          <w:color w:val="000000" w:themeColor="text1"/>
        </w:rPr>
      </w:pPr>
      <w:r w:rsidRPr="0042702F">
        <w:rPr>
          <w:rFonts w:ascii="Times New Roman" w:hAnsi="Times New Roman" w:cs="Times New Roman"/>
          <w:bCs/>
          <w:color w:val="000000" w:themeColor="text1"/>
        </w:rPr>
        <w:t>Змін</w:t>
      </w:r>
      <w:r w:rsidR="004F12B6" w:rsidRPr="0042702F">
        <w:rPr>
          <w:rFonts w:ascii="Times New Roman" w:hAnsi="Times New Roman" w:cs="Times New Roman"/>
          <w:bCs/>
          <w:color w:val="000000" w:themeColor="text1"/>
        </w:rPr>
        <w:t xml:space="preserve"> в обліковій політиці, облікових оцінках, виправлення суттєвих помилок та подання їх у фінансових звітах</w:t>
      </w:r>
      <w:r w:rsidRPr="0042702F">
        <w:rPr>
          <w:rFonts w:ascii="Times New Roman" w:hAnsi="Times New Roman" w:cs="Times New Roman"/>
          <w:bCs/>
          <w:color w:val="000000" w:themeColor="text1"/>
        </w:rPr>
        <w:t xml:space="preserve"> за період 2021 року не було.</w:t>
      </w:r>
    </w:p>
    <w:p w:rsidR="00A77736" w:rsidRPr="00601BCC" w:rsidRDefault="00A77736" w:rsidP="00A77736">
      <w:pPr>
        <w:spacing w:before="120" w:after="120"/>
        <w:rPr>
          <w:b/>
          <w:smallCaps/>
          <w:lang w:val="uk-UA"/>
        </w:rPr>
      </w:pPr>
      <w:r w:rsidRPr="00601BCC">
        <w:rPr>
          <w:b/>
          <w:smallCaps/>
          <w:lang w:val="uk-UA"/>
        </w:rPr>
        <w:t>5. Нові та переглянуті стандарти та тлумачення</w:t>
      </w:r>
      <w:r w:rsidR="00666AA5">
        <w:rPr>
          <w:b/>
          <w:smallCaps/>
          <w:lang w:val="uk-UA"/>
        </w:rPr>
        <w:t xml:space="preserve"> </w:t>
      </w:r>
    </w:p>
    <w:p w:rsidR="005E41F3" w:rsidRDefault="005E41F3" w:rsidP="005E41F3">
      <w:pPr>
        <w:ind w:firstLine="567"/>
        <w:jc w:val="both"/>
        <w:rPr>
          <w:lang w:val="uk-UA"/>
        </w:rPr>
      </w:pPr>
      <w:r w:rsidRPr="000C04EF">
        <w:rPr>
          <w:lang w:val="uk-UA"/>
        </w:rPr>
        <w:t>Нижче в таблиці наведено зміни до МСФЗ, дата набуття чинності таких змін, застосування таких змін та вплив таких змін н</w:t>
      </w:r>
      <w:r>
        <w:rPr>
          <w:lang w:val="uk-UA"/>
        </w:rPr>
        <w:t>а фінансову звітність Товариства</w:t>
      </w:r>
      <w:r w:rsidRPr="000C04EF">
        <w:rPr>
          <w:lang w:val="uk-UA"/>
        </w:rPr>
        <w:t>.</w:t>
      </w:r>
    </w:p>
    <w:tbl>
      <w:tblPr>
        <w:tblW w:w="0" w:type="auto"/>
        <w:tblCellMar>
          <w:left w:w="0" w:type="dxa"/>
          <w:right w:w="0" w:type="dxa"/>
        </w:tblCellMar>
        <w:tblLook w:val="04A0" w:firstRow="1" w:lastRow="0" w:firstColumn="1" w:lastColumn="0" w:noHBand="0" w:noVBand="1"/>
      </w:tblPr>
      <w:tblGrid>
        <w:gridCol w:w="6062"/>
        <w:gridCol w:w="1807"/>
        <w:gridCol w:w="1886"/>
      </w:tblGrid>
      <w:tr w:rsidR="005E41F3" w:rsidRPr="00646475" w:rsidTr="005E41F3">
        <w:trPr>
          <w:trHeight w:val="1470"/>
        </w:trPr>
        <w:tc>
          <w:tcPr>
            <w:tcW w:w="6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r w:rsidRPr="00646475">
              <w:rPr>
                <w:sz w:val="20"/>
                <w:szCs w:val="20"/>
                <w:lang w:val="uk-UA"/>
              </w:rPr>
              <w:t>Стандарти/тлумачення</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center"/>
              <w:rPr>
                <w:sz w:val="20"/>
                <w:szCs w:val="20"/>
                <w:lang w:val="uk-UA"/>
              </w:rPr>
            </w:pPr>
            <w:r w:rsidRPr="00646475">
              <w:rPr>
                <w:sz w:val="20"/>
                <w:szCs w:val="20"/>
                <w:lang w:val="uk-UA"/>
              </w:rPr>
              <w:t>Набувають чинності для річних облікових періодів, які починаються на або після</w:t>
            </w:r>
          </w:p>
        </w:tc>
        <w:tc>
          <w:tcPr>
            <w:tcW w:w="1886" w:type="dxa"/>
            <w:tcBorders>
              <w:top w:val="single" w:sz="8" w:space="0" w:color="auto"/>
              <w:left w:val="nil"/>
              <w:bottom w:val="single" w:sz="8" w:space="0" w:color="auto"/>
              <w:right w:val="single" w:sz="8" w:space="0" w:color="auto"/>
            </w:tcBorders>
          </w:tcPr>
          <w:p w:rsidR="005E41F3" w:rsidRPr="00646475" w:rsidRDefault="005E41F3" w:rsidP="005E41F3">
            <w:pPr>
              <w:jc w:val="center"/>
              <w:rPr>
                <w:sz w:val="20"/>
                <w:szCs w:val="20"/>
                <w:lang w:val="uk-UA"/>
              </w:rPr>
            </w:pPr>
            <w:r w:rsidRPr="00646475">
              <w:rPr>
                <w:sz w:val="20"/>
                <w:szCs w:val="20"/>
                <w:lang w:val="uk-UA"/>
              </w:rPr>
              <w:t>Вплив на фінансову звітність Товариства</w:t>
            </w: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концептуальних основ фінансової звітності «Поправки до посилань концептуальних основ стандартів МСФЗ»</w:t>
            </w:r>
          </w:p>
          <w:p w:rsidR="005E41F3" w:rsidRPr="00646475" w:rsidRDefault="005E41F3" w:rsidP="005E41F3">
            <w:pPr>
              <w:rPr>
                <w:sz w:val="20"/>
                <w:szCs w:val="20"/>
                <w:lang w:val="uk-UA"/>
              </w:rPr>
            </w:pPr>
            <w:r w:rsidRPr="00646475">
              <w:rPr>
                <w:sz w:val="20"/>
                <w:szCs w:val="20"/>
                <w:lang w:val="uk-UA"/>
              </w:rPr>
              <w:t xml:space="preserve">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w:t>
            </w:r>
            <w:r w:rsidRPr="00646475">
              <w:rPr>
                <w:sz w:val="20"/>
                <w:szCs w:val="20"/>
                <w:lang w:val="uk-UA"/>
              </w:rPr>
              <w:lastRenderedPageBreak/>
              <w:t xml:space="preserve">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містять порівняльну інформацію, а також за певних обставин - прогнозні дані. </w:t>
            </w:r>
          </w:p>
          <w:p w:rsidR="005E41F3" w:rsidRPr="00646475" w:rsidRDefault="005E41F3" w:rsidP="005E41F3">
            <w:pPr>
              <w:rPr>
                <w:sz w:val="20"/>
                <w:szCs w:val="20"/>
                <w:lang w:val="uk-UA"/>
              </w:rPr>
            </w:pPr>
            <w:r w:rsidRPr="00646475">
              <w:rPr>
                <w:sz w:val="20"/>
                <w:szCs w:val="20"/>
                <w:lang w:val="uk-UA"/>
              </w:rPr>
              <w:t xml:space="preserve">У новій редакції КОФЗ вводиться поняття «звітуюче підприємство», під яким мається на увазі сторона економічної діяльності, яка має чітко визначені межі та поняття зведеної звітності. </w:t>
            </w:r>
          </w:p>
          <w:p w:rsidR="005E41F3" w:rsidRPr="00646475" w:rsidRDefault="005E41F3" w:rsidP="005E41F3">
            <w:pPr>
              <w:rPr>
                <w:sz w:val="20"/>
                <w:szCs w:val="20"/>
                <w:lang w:val="uk-UA"/>
              </w:rPr>
            </w:pPr>
            <w:r w:rsidRPr="00646475">
              <w:rPr>
                <w:sz w:val="20"/>
                <w:szCs w:val="20"/>
                <w:lang w:val="uk-UA"/>
              </w:rPr>
              <w:t xml:space="preserve">Вираз «економічний ресурс» замість терміну «ресурс» підкреслює, що Рада МСФЗ 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5E41F3" w:rsidRPr="00646475" w:rsidRDefault="005E41F3" w:rsidP="005E41F3">
            <w:pPr>
              <w:rPr>
                <w:sz w:val="20"/>
                <w:szCs w:val="20"/>
                <w:lang w:val="uk-UA"/>
              </w:rPr>
            </w:pPr>
            <w:r w:rsidRPr="00646475">
              <w:rPr>
                <w:sz w:val="20"/>
                <w:szCs w:val="20"/>
                <w:lang w:val="uk-UA"/>
              </w:rPr>
              <w:t>Нова глава КОФЗ присвячена опису різних методів оцінки (історична і поточна вартість (справедлива вартість, вартість використання)), інформації, яку вони надають.</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83C96" w:rsidP="005E41F3">
            <w:pPr>
              <w:jc w:val="right"/>
              <w:rPr>
                <w:sz w:val="20"/>
                <w:szCs w:val="20"/>
                <w:lang w:val="uk-UA"/>
              </w:rPr>
            </w:pPr>
            <w:r>
              <w:rPr>
                <w:sz w:val="20"/>
                <w:szCs w:val="20"/>
                <w:lang w:val="uk-UA"/>
              </w:rPr>
              <w:lastRenderedPageBreak/>
              <w:t>1 січня 2021</w:t>
            </w:r>
            <w:r w:rsidR="005E41F3" w:rsidRPr="00646475">
              <w:rPr>
                <w:sz w:val="20"/>
                <w:szCs w:val="20"/>
                <w:lang w:val="uk-UA"/>
              </w:rPr>
              <w:t>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 xml:space="preserve">Перегляд даного документа не вплинув на фінансову звітність Товариства. </w:t>
            </w:r>
          </w:p>
          <w:p w:rsidR="005E41F3" w:rsidRPr="00646475" w:rsidRDefault="005E41F3" w:rsidP="005E41F3">
            <w:pPr>
              <w:jc w:val="right"/>
              <w:rPr>
                <w:sz w:val="20"/>
                <w:szCs w:val="20"/>
                <w:lang w:val="uk-UA"/>
              </w:rPr>
            </w:pPr>
          </w:p>
        </w:tc>
      </w:tr>
      <w:tr w:rsidR="005E41F3" w:rsidRPr="00646475" w:rsidTr="005E41F3">
        <w:trPr>
          <w:trHeight w:val="3134"/>
        </w:trPr>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lastRenderedPageBreak/>
              <w:t xml:space="preserve">Поправки до МСБО 1 «Подання фінансової звітності» та МСБО 8 «Облікова політика, зміни в облікових оцінках та помилки» «Визначення суттєвості» . 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5E41F3" w:rsidRPr="00646475" w:rsidRDefault="005E41F3" w:rsidP="005E41F3">
            <w:pPr>
              <w:rPr>
                <w:sz w:val="20"/>
                <w:szCs w:val="20"/>
                <w:lang w:val="uk-UA"/>
              </w:rPr>
            </w:pPr>
            <w:r w:rsidRPr="00646475">
              <w:rPr>
                <w:sz w:val="20"/>
                <w:szCs w:val="20"/>
                <w:lang w:val="uk-UA"/>
              </w:rPr>
              <w:t>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звітуючу компанію</w:t>
            </w:r>
          </w:p>
          <w:p w:rsidR="005E41F3" w:rsidRPr="00646475" w:rsidRDefault="005E41F3" w:rsidP="005E41F3">
            <w:pPr>
              <w:rPr>
                <w:sz w:val="20"/>
                <w:szCs w:val="20"/>
                <w:lang w:val="uk-UA"/>
              </w:rPr>
            </w:pPr>
            <w:r w:rsidRPr="00646475">
              <w:rPr>
                <w:sz w:val="20"/>
                <w:szCs w:val="20"/>
                <w:lang w:val="uk-UA"/>
              </w:rPr>
              <w:t>Зміни забезпечують послідовність використання визначення суттєвості в усіх стандартах МСФЗ.</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83C96" w:rsidP="005E41F3">
            <w:pPr>
              <w:jc w:val="right"/>
              <w:rPr>
                <w:sz w:val="20"/>
                <w:szCs w:val="20"/>
                <w:lang w:val="uk-UA"/>
              </w:rPr>
            </w:pPr>
            <w:r>
              <w:rPr>
                <w:sz w:val="20"/>
                <w:szCs w:val="20"/>
                <w:lang w:val="uk-UA"/>
              </w:rPr>
              <w:t>1 січня 2021</w:t>
            </w:r>
            <w:r w:rsidR="005E41F3" w:rsidRPr="00646475">
              <w:rPr>
                <w:sz w:val="20"/>
                <w:szCs w:val="20"/>
                <w:lang w:val="uk-UA"/>
              </w:rPr>
              <w:t>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Дані поправки не вплинули на фінансову звітність Товариства, і очікується, що в майбутньому вплив також буде відсутній.</w:t>
            </w:r>
          </w:p>
          <w:p w:rsidR="005E41F3" w:rsidRPr="00646475" w:rsidRDefault="005E41F3" w:rsidP="005E41F3">
            <w:pPr>
              <w:jc w:val="right"/>
              <w:rPr>
                <w:sz w:val="20"/>
                <w:szCs w:val="20"/>
                <w:lang w:val="uk-UA"/>
              </w:rPr>
            </w:pP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МСФЗ 3 «Об’єднання бізнесу»</w:t>
            </w:r>
          </w:p>
          <w:p w:rsidR="005E41F3" w:rsidRPr="00646475" w:rsidRDefault="005E41F3" w:rsidP="005E41F3">
            <w:pPr>
              <w:rPr>
                <w:sz w:val="20"/>
                <w:szCs w:val="20"/>
                <w:lang w:val="uk-UA"/>
              </w:rPr>
            </w:pPr>
            <w:r w:rsidRPr="00646475">
              <w:rPr>
                <w:sz w:val="20"/>
                <w:szCs w:val="20"/>
                <w:lang w:val="uk-UA"/>
              </w:rPr>
              <w:t xml:space="preserve">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5E41F3" w:rsidRPr="00646475" w:rsidRDefault="005E41F3" w:rsidP="005E41F3">
            <w:pPr>
              <w:rPr>
                <w:sz w:val="20"/>
                <w:szCs w:val="20"/>
                <w:lang w:val="uk-UA"/>
              </w:rPr>
            </w:pPr>
            <w:r w:rsidRPr="00646475">
              <w:rPr>
                <w:sz w:val="20"/>
                <w:szCs w:val="20"/>
                <w:lang w:val="uk-UA"/>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5E41F3" w:rsidRPr="00646475" w:rsidRDefault="005E41F3" w:rsidP="005E41F3">
            <w:pPr>
              <w:rPr>
                <w:sz w:val="20"/>
                <w:szCs w:val="20"/>
                <w:lang w:val="uk-UA"/>
              </w:rPr>
            </w:pPr>
            <w:r w:rsidRPr="00646475">
              <w:rPr>
                <w:sz w:val="20"/>
                <w:szCs w:val="20"/>
                <w:lang w:val="uk-UA"/>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5E41F3" w:rsidRPr="00646475" w:rsidRDefault="005E41F3" w:rsidP="005E41F3">
            <w:pPr>
              <w:rPr>
                <w:sz w:val="20"/>
                <w:szCs w:val="20"/>
                <w:lang w:val="uk-UA"/>
              </w:rPr>
            </w:pPr>
            <w:r w:rsidRPr="00646475">
              <w:rPr>
                <w:sz w:val="20"/>
                <w:szCs w:val="20"/>
                <w:lang w:val="uk-UA"/>
              </w:rPr>
              <w:t>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83C96" w:rsidP="005E41F3">
            <w:pPr>
              <w:jc w:val="right"/>
              <w:rPr>
                <w:sz w:val="20"/>
                <w:szCs w:val="20"/>
                <w:lang w:val="uk-UA"/>
              </w:rPr>
            </w:pPr>
            <w:r>
              <w:rPr>
                <w:sz w:val="20"/>
                <w:szCs w:val="20"/>
                <w:lang w:val="uk-UA"/>
              </w:rPr>
              <w:t>1 січня 2021</w:t>
            </w:r>
            <w:r w:rsidR="005E41F3" w:rsidRPr="00646475">
              <w:rPr>
                <w:sz w:val="20"/>
                <w:szCs w:val="20"/>
                <w:lang w:val="uk-UA"/>
              </w:rPr>
              <w:t>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Дані поправки не вплинули на фінансову звітність Товариства, але можуть бути застосовні в майбутньому, якщо Товариство проведе операцію по об'єднанню бізнесів.</w:t>
            </w:r>
          </w:p>
          <w:p w:rsidR="005E41F3" w:rsidRPr="00646475" w:rsidRDefault="005E41F3" w:rsidP="005E41F3">
            <w:pPr>
              <w:jc w:val="right"/>
              <w:rPr>
                <w:sz w:val="20"/>
                <w:szCs w:val="20"/>
                <w:lang w:val="uk-UA"/>
              </w:rPr>
            </w:pP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МСФЗ 9 «Фінансові інструменти», МСФОЗ 7 «Фінансові інструменти: розкриття інформації», МСБО 39 «Фінансові інструменти: визнання та оцінка». «Реформа відсоткової ставки та її вплив на фінансову звітність» - 1 етап</w:t>
            </w:r>
          </w:p>
          <w:p w:rsidR="005E41F3" w:rsidRPr="00646475" w:rsidRDefault="005E41F3" w:rsidP="005E41F3">
            <w:pPr>
              <w:rPr>
                <w:sz w:val="20"/>
                <w:szCs w:val="20"/>
                <w:lang w:val="uk-UA"/>
              </w:rPr>
            </w:pPr>
            <w:r w:rsidRPr="00646475">
              <w:rPr>
                <w:sz w:val="20"/>
                <w:szCs w:val="20"/>
                <w:lang w:val="uk-UA"/>
              </w:rPr>
              <w:lastRenderedPageBreak/>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5E41F3" w:rsidRPr="00646475" w:rsidRDefault="005E41F3" w:rsidP="005E41F3">
            <w:pPr>
              <w:rPr>
                <w:sz w:val="20"/>
                <w:szCs w:val="20"/>
                <w:lang w:val="uk-UA"/>
              </w:rPr>
            </w:pPr>
            <w:r w:rsidRPr="00646475">
              <w:rPr>
                <w:sz w:val="20"/>
                <w:szCs w:val="20"/>
                <w:lang w:val="uk-UA"/>
              </w:rPr>
              <w:t xml:space="preserve">Поправки: </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змінили вимоги до обліку хеджування: при обліку хеджування передбачається, що контрольний показник процентної ставки, на якому засновані грошові потоки, що хеджуються і грошові потоки від інструменту хеджування, не зміниться в результаті реформи;</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обов'язкові для всіх відносин хеджування, на які безпосередньо впливає реформа внутрішньобанківської ставки рефінансування;</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не можна використовувати для усунення будь-яких інших наслідків реформи;</w:t>
            </w:r>
          </w:p>
          <w:p w:rsidR="005E41F3" w:rsidRPr="00646475" w:rsidRDefault="005E41F3" w:rsidP="005E41F3">
            <w:pPr>
              <w:rPr>
                <w:sz w:val="20"/>
                <w:szCs w:val="20"/>
                <w:lang w:val="uk-UA"/>
              </w:rPr>
            </w:pPr>
            <w:r w:rsidRPr="00646475">
              <w:rPr>
                <w:sz w:val="20"/>
                <w:szCs w:val="20"/>
                <w:lang w:val="uk-UA"/>
              </w:rPr>
              <w:t>вимагають розкриття інформації про ступінь впливу поправок на відносини хеджування.</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83C96" w:rsidP="005E41F3">
            <w:pPr>
              <w:jc w:val="right"/>
              <w:rPr>
                <w:sz w:val="20"/>
                <w:szCs w:val="20"/>
                <w:lang w:val="uk-UA"/>
              </w:rPr>
            </w:pPr>
            <w:r>
              <w:rPr>
                <w:sz w:val="20"/>
                <w:szCs w:val="20"/>
                <w:lang w:val="uk-UA"/>
              </w:rPr>
              <w:lastRenderedPageBreak/>
              <w:t>1 січня 2021</w:t>
            </w:r>
            <w:r w:rsidR="005E41F3" w:rsidRPr="00646475">
              <w:rPr>
                <w:sz w:val="20"/>
                <w:szCs w:val="20"/>
                <w:lang w:val="uk-UA"/>
              </w:rPr>
              <w:t> року</w:t>
            </w:r>
          </w:p>
          <w:p w:rsidR="005E41F3" w:rsidRPr="00646475" w:rsidRDefault="005E41F3" w:rsidP="005E41F3">
            <w:pPr>
              <w:jc w:val="right"/>
              <w:rPr>
                <w:sz w:val="20"/>
                <w:szCs w:val="20"/>
                <w:lang w:val="uk-UA"/>
              </w:rPr>
            </w:pP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 xml:space="preserve">Дані поправки не вплинули на фінансову звітність Товариства, оскільки </w:t>
            </w:r>
            <w:r w:rsidRPr="00646475">
              <w:rPr>
                <w:sz w:val="20"/>
                <w:szCs w:val="20"/>
                <w:lang w:val="uk-UA" w:eastAsia="en-US"/>
              </w:rPr>
              <w:lastRenderedPageBreak/>
              <w:t xml:space="preserve">відсутні відносини хеджування, що базуються на процентних ставках. </w:t>
            </w:r>
          </w:p>
          <w:p w:rsidR="005E41F3" w:rsidRPr="00646475" w:rsidRDefault="005E41F3" w:rsidP="005E41F3">
            <w:pPr>
              <w:jc w:val="right"/>
              <w:rPr>
                <w:sz w:val="20"/>
                <w:szCs w:val="20"/>
                <w:lang w:val="uk-UA"/>
              </w:rPr>
            </w:pPr>
          </w:p>
        </w:tc>
      </w:tr>
    </w:tbl>
    <w:p w:rsidR="005E41F3" w:rsidRPr="002579A5" w:rsidRDefault="005E41F3" w:rsidP="005E41F3">
      <w:pPr>
        <w:ind w:firstLine="567"/>
        <w:jc w:val="both"/>
        <w:rPr>
          <w:lang w:val="uk-UA"/>
        </w:rPr>
      </w:pPr>
      <w:r w:rsidRPr="009B510A">
        <w:rPr>
          <w:lang w:val="uk-UA"/>
        </w:rPr>
        <w:lastRenderedPageBreak/>
        <w:t>Перелічені вище стандарти та правки до них не вплинули на фінансову звітність Товариства.</w:t>
      </w:r>
      <w:r w:rsidRPr="002579A5">
        <w:rPr>
          <w:lang w:val="uk-UA"/>
        </w:rPr>
        <w:t xml:space="preserve"> </w:t>
      </w:r>
    </w:p>
    <w:p w:rsidR="005E41F3" w:rsidRPr="000004B4" w:rsidRDefault="005E41F3" w:rsidP="005E41F3">
      <w:pPr>
        <w:ind w:firstLine="567"/>
        <w:jc w:val="both"/>
        <w:rPr>
          <w:lang w:val="uk-UA" w:eastAsia="en-US"/>
        </w:rPr>
      </w:pPr>
      <w:r w:rsidRPr="002579A5">
        <w:rPr>
          <w:lang w:val="uk-UA" w:eastAsia="en-US"/>
        </w:rPr>
        <w:t>Нижче наводяться</w:t>
      </w:r>
      <w:r w:rsidRPr="000004B4">
        <w:rPr>
          <w:lang w:val="uk-UA" w:eastAsia="en-US"/>
        </w:rPr>
        <w:t xml:space="preserve"> нові стандарти, поправки та роз'яснення, які були випущені, але ще не вступили в силу на дату випуску фінансової звітності Товариства. </w:t>
      </w:r>
    </w:p>
    <w:tbl>
      <w:tblPr>
        <w:tblW w:w="0" w:type="auto"/>
        <w:tblCellMar>
          <w:left w:w="0" w:type="dxa"/>
          <w:right w:w="0" w:type="dxa"/>
        </w:tblCellMar>
        <w:tblLook w:val="04A0" w:firstRow="1" w:lastRow="0" w:firstColumn="1" w:lastColumn="0" w:noHBand="0" w:noVBand="1"/>
      </w:tblPr>
      <w:tblGrid>
        <w:gridCol w:w="7913"/>
        <w:gridCol w:w="1940"/>
      </w:tblGrid>
      <w:tr w:rsidR="005E41F3" w:rsidRPr="000C04EF" w:rsidTr="005E41F3">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r w:rsidRPr="00646475">
              <w:rPr>
                <w:sz w:val="20"/>
                <w:szCs w:val="20"/>
                <w:lang w:val="uk-UA"/>
              </w:rPr>
              <w:t>Стандарти/тлумачення</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1F3" w:rsidRPr="00646475" w:rsidRDefault="005E41F3" w:rsidP="005E41F3">
            <w:pPr>
              <w:jc w:val="center"/>
              <w:rPr>
                <w:sz w:val="20"/>
                <w:szCs w:val="20"/>
                <w:lang w:val="uk-UA"/>
              </w:rPr>
            </w:pPr>
            <w:r w:rsidRPr="00646475">
              <w:rPr>
                <w:sz w:val="20"/>
                <w:szCs w:val="20"/>
                <w:lang w:val="uk-UA"/>
              </w:rPr>
              <w:t>Набувають чинності для річних облікових періодів, які починаються на або після</w:t>
            </w:r>
          </w:p>
        </w:tc>
      </w:tr>
      <w:tr w:rsidR="005E41F3" w:rsidRPr="000C04EF" w:rsidTr="005E41F3">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rPr>
            </w:pPr>
            <w:r w:rsidRPr="00646475">
              <w:rPr>
                <w:sz w:val="20"/>
                <w:szCs w:val="20"/>
                <w:lang w:val="uk-UA"/>
              </w:rPr>
              <w:t>Поправки до МСФЗ 9, МСБО 39 та МСФЗ 7 «Реформа відсоткової ставки та її вплив на фінансову звітність» - 2 етап</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2021 рік</w:t>
            </w:r>
          </w:p>
          <w:p w:rsidR="005E41F3" w:rsidRPr="00646475" w:rsidRDefault="005E41F3" w:rsidP="005E41F3">
            <w:pPr>
              <w:jc w:val="right"/>
              <w:rPr>
                <w:sz w:val="20"/>
                <w:szCs w:val="20"/>
              </w:rPr>
            </w:pP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37 «Обтяжливі договори – витрати на виконання договору»</w:t>
            </w:r>
          </w:p>
          <w:p w:rsidR="005E41F3" w:rsidRPr="00646475" w:rsidRDefault="005E41F3" w:rsidP="005E41F3">
            <w:pPr>
              <w:jc w:val="both"/>
              <w:rPr>
                <w:sz w:val="20"/>
                <w:szCs w:val="20"/>
                <w:lang w:val="uk-UA" w:eastAsia="en-US"/>
              </w:rPr>
            </w:pPr>
            <w:r w:rsidRPr="00646475">
              <w:rPr>
                <w:sz w:val="20"/>
                <w:szCs w:val="20"/>
                <w:lang w:val="uk-UA" w:eastAsia="en-US"/>
              </w:rPr>
              <w:t>У травні 2020 року Рада з МСФЗ випустила поправки до МСФЗ (IAS) 37, в яких роз'яснюється, які витрати організація повинна враховувати при оцінці того, чи є договір обтяжливим або збитковим.</w:t>
            </w:r>
          </w:p>
          <w:p w:rsidR="005E41F3" w:rsidRPr="00646475" w:rsidRDefault="005E41F3" w:rsidP="005E41F3">
            <w:pPr>
              <w:jc w:val="both"/>
              <w:rPr>
                <w:sz w:val="20"/>
                <w:szCs w:val="20"/>
              </w:rPr>
            </w:pPr>
            <w:r w:rsidRPr="00646475">
              <w:rPr>
                <w:sz w:val="20"/>
                <w:szCs w:val="20"/>
                <w:lang w:val="uk-UA" w:eastAsia="en-US"/>
              </w:rPr>
              <w:t>Поправки передбачають застосування підходу, який базується на «витратах, безпосередньо пов'язаних з договором». Витрати, безпосередньо пов'язані з договором на надання товарів або послуг, включають як додаткові витрати на виконання цього договору, так і розподілені витрати, безпосередньо пов'язані з виконанням договору. Загальні і адміністративні витрати не пов'язані безпосередньо з договором і, отже, виключаються, окрім випадків, коли вони явно підлягають відшкодуванню контрагентом за договором.</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16 «Основні засоби: надходження від продажу виробів, вироблених до часу, коли актив став доступним для використання»</w:t>
            </w:r>
          </w:p>
          <w:p w:rsidR="005E41F3" w:rsidRPr="00646475" w:rsidRDefault="005E41F3" w:rsidP="005E41F3">
            <w:pPr>
              <w:jc w:val="both"/>
              <w:rPr>
                <w:sz w:val="20"/>
                <w:szCs w:val="20"/>
                <w:lang w:val="uk-UA"/>
              </w:rPr>
            </w:pPr>
            <w:r w:rsidRPr="00646475">
              <w:rPr>
                <w:sz w:val="20"/>
                <w:szCs w:val="20"/>
                <w:lang w:val="uk-UA" w:eastAsia="en-US"/>
              </w:rPr>
              <w:t>У травні 2020 року Рада з МСФЗ випустила документ «Основні засоби: надходження до використання за призначенням», який забороняє організаціям віднімати з первісної вартості об'єкта основних засобів будь-які надходження від продажу виробів, вироблених в процесі доставки цього об'єкта до місця розташування та приведення його у стан, який потрібен для його експлуатації відповідно до вимог керівництва. Замість цього організація визнає надходження від продажу таких виробів, а також вартість виробництва цих виробів в прибутку чи збитку.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«Щорічні удосконалення МСФЗ за період 2018-2020»</w:t>
            </w:r>
          </w:p>
          <w:p w:rsidR="005E41F3" w:rsidRPr="00646475" w:rsidRDefault="005E41F3" w:rsidP="005E41F3">
            <w:pPr>
              <w:jc w:val="both"/>
              <w:rPr>
                <w:sz w:val="20"/>
                <w:szCs w:val="20"/>
              </w:rPr>
            </w:pPr>
            <w:r w:rsidRPr="00646475">
              <w:rPr>
                <w:sz w:val="20"/>
                <w:szCs w:val="20"/>
                <w:lang w:val="uk-UA" w:eastAsia="en-US"/>
              </w:rPr>
              <w:t xml:space="preserve">В рамках процесу щорічних удосконалень МСФЗ, період 2018-2020 років, Рада з МСФЗ випустила поправку до МСФЗ (IFRS) 1 «Перше застосування Міжнародних стандартів фінансової звітності». Відповідно до даної поправки дочірня організація, яка вирішує застосувати пункт D16 (a) МСФЗ (IFRS) 1, має право оцінювати накопичені курсові різниці з використанням сум, відображених у фінансовій звітності материнського підприємства, виходячи з дати переходу материнського підприємства на МСФЗ. Дана поправка також може бути застосована до асоційованих організацій та спільних підприємств, які вирішують застосовувати пункт D16 (a) МСФЗ (IFRS) 1.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Посилання на Концептуальну основу (поправки до МСФЗ 3)</w:t>
            </w:r>
          </w:p>
          <w:p w:rsidR="005E41F3" w:rsidRPr="00646475" w:rsidRDefault="005E41F3" w:rsidP="005E41F3">
            <w:pPr>
              <w:jc w:val="both"/>
              <w:rPr>
                <w:sz w:val="20"/>
                <w:szCs w:val="20"/>
                <w:lang w:val="uk-UA" w:eastAsia="en-US"/>
              </w:rPr>
            </w:pPr>
            <w:r w:rsidRPr="00646475">
              <w:rPr>
                <w:sz w:val="20"/>
                <w:szCs w:val="20"/>
                <w:lang w:val="uk-UA" w:eastAsia="en-US"/>
              </w:rPr>
              <w:t>У травні 2020 року Рада з МСФЗ випустила поправки до МСФЗ (IFRS) 3 «Об'єднання бізнесів» - «Посилання на концептуальні основи». Мета даних поправок –замінити посилання на «Концепцію підготовки та подання фінансової звітності», випущену в 1989 році, на посилання на «Концептуальні основи подання фінансових звітів», випущені в березні 2018 року, без внесення значних змін у вимоги стандарту.</w:t>
            </w:r>
          </w:p>
          <w:p w:rsidR="005E41F3" w:rsidRPr="00646475" w:rsidRDefault="005E41F3" w:rsidP="005E41F3">
            <w:pPr>
              <w:jc w:val="both"/>
              <w:rPr>
                <w:sz w:val="20"/>
                <w:szCs w:val="20"/>
                <w:lang w:val="uk-UA" w:eastAsia="en-US"/>
              </w:rPr>
            </w:pPr>
            <w:r w:rsidRPr="00646475">
              <w:rPr>
                <w:sz w:val="20"/>
                <w:szCs w:val="20"/>
                <w:lang w:val="uk-UA" w:eastAsia="en-US"/>
              </w:rPr>
              <w:lastRenderedPageBreak/>
              <w:t>Рада також додала виключення з принципу визнання в МСФЗ (IFRS) 3, щоб уникнути виникнення потенційних прибутків або збитків «2-го дня», для зобов'язань і умовних зобов'язань, які б відносились до сфери застосування МСФЗ (IAS) 37 або Роз'яснення КТМФЗ (IFRIC) 21 «Обов'язкові платежі», якби вони виникали в рамках окремих операцій.</w:t>
            </w:r>
          </w:p>
          <w:p w:rsidR="005E41F3" w:rsidRPr="00646475" w:rsidRDefault="005E41F3" w:rsidP="005E41F3">
            <w:pPr>
              <w:jc w:val="both"/>
              <w:rPr>
                <w:sz w:val="20"/>
                <w:szCs w:val="20"/>
                <w:lang w:val="uk-UA"/>
              </w:rPr>
            </w:pPr>
            <w:r w:rsidRPr="00646475">
              <w:rPr>
                <w:sz w:val="20"/>
                <w:szCs w:val="20"/>
                <w:lang w:val="uk-UA" w:eastAsia="en-US"/>
              </w:rPr>
              <w:t>В той же час Рада вирішила роз'яснити існуючі вимоги МСФЗ (IFRS) 3 щодо умовних активів, на які заміна посилань на «Концепцію підготовки та подання фінансової звітності» не вплине.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lastRenderedPageBreak/>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lastRenderedPageBreak/>
              <w:t>МСФЗ 17 «Страхові контракти»</w:t>
            </w:r>
          </w:p>
          <w:p w:rsidR="005E41F3" w:rsidRPr="00646475" w:rsidRDefault="005E41F3" w:rsidP="005E41F3">
            <w:pPr>
              <w:jc w:val="both"/>
              <w:rPr>
                <w:sz w:val="20"/>
                <w:szCs w:val="20"/>
                <w:lang w:val="uk-UA" w:eastAsia="en-US"/>
              </w:rPr>
            </w:pPr>
            <w:r w:rsidRPr="00646475">
              <w:rPr>
                <w:sz w:val="20"/>
                <w:szCs w:val="20"/>
                <w:lang w:val="uk-UA" w:eastAsia="en-US"/>
              </w:rPr>
              <w:t>В травні 2017 року Рада з МСФЗ випустила МСФЗ (IFRS) 17 «Договори страхування», новий всеосяжний стандарт фінансової звітності для договорів страхування, який розглядає питання визнання та оцінки, подання та розкриття інформації. Коли МСФЗ (IFRS) 17 вступить в силу, він замінить собою МСФЗ (IFRS) 4 "Страхові контракти", який був випущений в 2005 році. МСФЗ (IFRS) 17 застосовується до всіх видів договорів страхування (тобто страхування життя і страхування, відмінне від страхування життя, пряме страхування і перестрахування) незалежно від виду організації, яка випускає їх, а також до певних гарантій і фінансових інструментів з умовами дискреційної участі. Існують декілька винятків зі сфери застосування. Основна мета МСФЗ (IFRS) 17 полягає в наданні моделі обліку договорів страхування, яка є більш ефективною і послідовною для страховиків. На відміну від вимог МСФЗ (IFRS) 4, які в основному базуються на попередніх місцевих облікових політиках, МСФЗ (IFRS) 17 надає всебічну модель обліку договорів страхування, охоплюючи всі доречні аспекти обліку. В основі МСФЗ (IFRS) 17 лежить загальна модель, доповнена наступним:</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Певні модифікації для договорів страхування з умовами прямої участі (метод змінної винагороди).</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rPr>
            </w:pPr>
            <w:r w:rsidRPr="00646475">
              <w:rPr>
                <w:sz w:val="20"/>
                <w:szCs w:val="20"/>
                <w:lang w:val="uk-UA" w:eastAsia="en-US"/>
              </w:rPr>
              <w:t>Спрощений підхід (підхід на основі розподілу премії) в основному для короткострокових договорів.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2023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1 «Класифікація зобов’язань на поточні та довгострокові»</w:t>
            </w:r>
          </w:p>
          <w:p w:rsidR="005E41F3" w:rsidRPr="00646475" w:rsidRDefault="005E41F3" w:rsidP="005E41F3">
            <w:pPr>
              <w:jc w:val="both"/>
              <w:rPr>
                <w:sz w:val="20"/>
                <w:szCs w:val="20"/>
                <w:lang w:val="uk-UA" w:eastAsia="en-US"/>
              </w:rPr>
            </w:pPr>
            <w:r w:rsidRPr="00646475">
              <w:rPr>
                <w:sz w:val="20"/>
                <w:szCs w:val="20"/>
                <w:lang w:val="uk-UA" w:eastAsia="en-US"/>
              </w:rPr>
              <w:t>У січні 2020 року Рада з МСФЗ випустила поправки до пунктів 69-76 МСФЗ (IAS) 1, в яких пояснюються вимоги щодо класифікації зобов'язань як короткострокових або довгострокових. У поправках пояснюється наступне:</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що розуміється під правом відкласти врегулювання зобов'язань;</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право відкласти врегулювання зобов'язань повинно існувати на кінець звітного періоду;</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 xml:space="preserve">на класифікацію зобов'язань не впливає ймовірність того, що організація виконає своє право відкласти врегулювання зобов'язання;  </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rPr>
            </w:pPr>
            <w:r w:rsidRPr="00646475">
              <w:rPr>
                <w:sz w:val="20"/>
                <w:szCs w:val="20"/>
                <w:lang w:val="uk-UA" w:eastAsia="en-US"/>
              </w:rPr>
              <w:t>умови зобов'язання не впливатимуть на його класифікацію, тільки якщо похідний інструмент, який входить в конвертоване зобов'язання, сам по собі є інструментом власного капіталу.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2023 рік</w:t>
            </w:r>
          </w:p>
        </w:tc>
      </w:tr>
    </w:tbl>
    <w:p w:rsidR="005E41F3" w:rsidRPr="00BA7445" w:rsidRDefault="005E41F3" w:rsidP="005E41F3">
      <w:pPr>
        <w:spacing w:before="120" w:after="120"/>
        <w:ind w:firstLine="567"/>
        <w:jc w:val="both"/>
        <w:rPr>
          <w:lang w:val="uk-UA"/>
        </w:rPr>
      </w:pPr>
      <w:r w:rsidRPr="00BA7445">
        <w:rPr>
          <w:lang w:val="uk-UA"/>
        </w:rPr>
        <w:t xml:space="preserve">Товариство у фінансовій звітності </w:t>
      </w:r>
      <w:r w:rsidR="00A72B53">
        <w:rPr>
          <w:lang w:val="uk-UA"/>
        </w:rPr>
        <w:t>за рік, що закінчився 31.12.2021</w:t>
      </w:r>
      <w:r>
        <w:rPr>
          <w:lang w:val="uk-UA"/>
        </w:rPr>
        <w:t xml:space="preserve"> р., не застосов</w:t>
      </w:r>
      <w:r w:rsidRPr="00BA7445">
        <w:rPr>
          <w:lang w:val="uk-UA"/>
        </w:rPr>
        <w:t>увало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C42918" w:rsidRPr="00601BCC" w:rsidRDefault="00C42918" w:rsidP="00C42918">
      <w:pPr>
        <w:spacing w:before="120" w:after="120"/>
        <w:jc w:val="both"/>
        <w:rPr>
          <w:b/>
          <w:smallCaps/>
          <w:lang w:val="uk-UA"/>
        </w:rPr>
      </w:pPr>
      <w:r w:rsidRPr="00601BCC">
        <w:rPr>
          <w:b/>
          <w:smallCaps/>
          <w:lang w:val="uk-UA"/>
        </w:rPr>
        <w:t xml:space="preserve">6. Облікові оцінки і основні джерела невизначеності в оцінках </w:t>
      </w:r>
    </w:p>
    <w:p w:rsidR="005E41F3" w:rsidRPr="00DF6236" w:rsidRDefault="005E41F3" w:rsidP="005E41F3">
      <w:pPr>
        <w:spacing w:before="120" w:after="120"/>
        <w:ind w:firstLine="708"/>
        <w:jc w:val="both"/>
        <w:rPr>
          <w:color w:val="000000"/>
          <w:lang w:val="uk-UA"/>
        </w:rPr>
      </w:pPr>
      <w:r w:rsidRPr="00DF6236">
        <w:rPr>
          <w:color w:val="000000"/>
          <w:lang w:val="uk-UA"/>
        </w:rPr>
        <w:t xml:space="preserve">При підготовці фінансової звітності Товариство робить оцінки та припущення, які мають вплив на визначення суми активів та зобов’язань, визначення доходів та витрат звітного періоду,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w:t>
      </w:r>
    </w:p>
    <w:p w:rsidR="005E41F3" w:rsidRPr="00DF6236" w:rsidRDefault="005E41F3" w:rsidP="005E41F3">
      <w:pPr>
        <w:spacing w:before="120" w:after="120"/>
        <w:ind w:right="-58" w:firstLine="709"/>
        <w:jc w:val="both"/>
        <w:rPr>
          <w:color w:val="000000"/>
          <w:lang w:val="uk-UA"/>
        </w:rPr>
      </w:pPr>
      <w:r w:rsidRPr="00DF6236">
        <w:rPr>
          <w:b/>
          <w:i/>
          <w:color w:val="000000"/>
          <w:lang w:val="uk-UA"/>
        </w:rPr>
        <w:t xml:space="preserve">Безперервність діяльності. </w:t>
      </w:r>
      <w:r w:rsidRPr="00DF6236">
        <w:rPr>
          <w:color w:val="000000"/>
          <w:lang w:val="uk-UA"/>
        </w:rPr>
        <w:t xml:space="preserve">Керівництво здійснило оцінку щодо можливості подальшої безперервної діяльності ФК за визначеними видами діяльності та впевнилося, що Товариство має ресурси для продовження діяльності в досяжному майбутньому. Керівництву не відомо про будь-які значні невизначеності, що можуть викликати значну невпевненість у можливості здійснювати безперервну діяльність. Таким чином, складання фінансової звітності було здійснено виходячи з принципу безперервності діяльності. </w:t>
      </w:r>
    </w:p>
    <w:p w:rsidR="005E41F3" w:rsidRPr="00DF6236" w:rsidRDefault="005E41F3" w:rsidP="005E41F3">
      <w:pPr>
        <w:spacing w:before="120" w:after="120"/>
        <w:ind w:right="-1" w:firstLine="709"/>
        <w:jc w:val="both"/>
        <w:rPr>
          <w:lang w:val="uk-UA"/>
        </w:rPr>
      </w:pPr>
      <w:r w:rsidRPr="00DF6236">
        <w:rPr>
          <w:b/>
          <w:i/>
          <w:lang w:val="uk-UA"/>
        </w:rPr>
        <w:t>Оцінка бізнес-моделі.</w:t>
      </w:r>
      <w:r w:rsidRPr="00DF6236">
        <w:rPr>
          <w:lang w:val="uk-UA"/>
        </w:rPr>
        <w:t xml:space="preserve"> Класифікація і оцінка фінансових активів залежить від </w:t>
      </w:r>
      <w:r w:rsidRPr="00DF6236">
        <w:rPr>
          <w:lang w:val="uk-UA"/>
        </w:rPr>
        <w:lastRenderedPageBreak/>
        <w:t xml:space="preserve">результатів тестування щодо виплат тільки основної суми та процентів, а також бізнес-моделі. Товариство визначає бізнес-модель на рівні, який відображає те, яким чином групи фінансових активів управляються разом для досягнення конкретної бізнес-цілі. Ця оцінка включає використання суджень, які відображають усі відповідні докази, включно зі способами оцінки показників діяльності активів та оцінки їхніх показників, ризики, які впливають на показники діяльності активів і способи їхнього управління, а також те, яким чином відбувається компенсація менеджерів активів. Товариство здійснює моніторинг фінансових активів, які оцінюються за амортизованою собівартістю або справедливою вартістю, із відображенням переоцінки у складі інших сукупних доходів, які припиняють визнаватися до настання терміну їхнього погашення, для того, щоб зрозуміти причину їхнього вибуття, і чи відповідають такі причини цілі господарської діяльності, заради якої ці активи утримуються. Моніторинг є частиною постійної оцінки Товариством того, чи продовжує бізнес-модель, заради якої утримуються залишки фінансових активів, залишатися доречною і, якщо вона перестає бути доречною, чи відбулися зміни у бізнес-моделі та, відповідно, перспективні зміни у класифікації цих активів. </w:t>
      </w:r>
    </w:p>
    <w:p w:rsidR="005E41F3" w:rsidRPr="00DF6236" w:rsidRDefault="005E41F3" w:rsidP="005E41F3">
      <w:pPr>
        <w:spacing w:before="120" w:after="120"/>
        <w:ind w:right="-1" w:firstLine="709"/>
        <w:jc w:val="both"/>
        <w:rPr>
          <w:lang w:val="uk-UA"/>
        </w:rPr>
      </w:pPr>
      <w:r w:rsidRPr="00DF6236">
        <w:rPr>
          <w:b/>
          <w:i/>
          <w:lang w:val="uk-UA"/>
        </w:rPr>
        <w:t xml:space="preserve"> Істотне збільшення кредитного ризику.</w:t>
      </w:r>
      <w:r w:rsidRPr="00DF6236">
        <w:rPr>
          <w:lang w:val="uk-UA"/>
        </w:rPr>
        <w:t xml:space="preserve"> Очікувані кредитні збитки оцінюються як резерв, який дорівнює 12-ти місячним очікуваним кредитним збиткам для активів Етапу 1 або очікуваним кредитним збиткам на весь строк дії інструментів для активів Етапу 2 або Етапу 3. Актив переходить до Етапу 2, коли його кредитний ризик значно зростає з моменту первісного визнання. МСФЗ 9 не визначає те, що входить до значного зростання кредитного ризику. Під час оцінки того, чи збільшився кредитний ризик активу істотно, Товариство враховує якісну та кількісну обґрунтовану та корисну прогнозну інформацію.</w:t>
      </w:r>
    </w:p>
    <w:p w:rsidR="005E41F3" w:rsidRDefault="005E41F3" w:rsidP="005E41F3">
      <w:pPr>
        <w:spacing w:before="120" w:after="120"/>
        <w:ind w:right="-1" w:firstLine="709"/>
        <w:jc w:val="both"/>
        <w:rPr>
          <w:lang w:val="uk-UA"/>
        </w:rPr>
      </w:pPr>
      <w:r w:rsidRPr="00DF6236">
        <w:rPr>
          <w:b/>
          <w:i/>
          <w:lang w:val="uk-UA"/>
        </w:rPr>
        <w:t>Податкове законодавство.</w:t>
      </w:r>
      <w:r w:rsidRPr="00DF6236">
        <w:rPr>
          <w:lang w:val="uk-UA"/>
        </w:rPr>
        <w:t xml:space="preserve"> Внаслідок наявності в українському господарському, зокрема, податковому, законодавстві положень, які дозволяють більш ніж один варіант тлумачення, а також внаслідок практики, яка склалася в загалом нестабільному економічному середовищі через довільне тлумачення податковими органами різних аспектів економічної діяльності, Товариство, можливо, буде змушено визнати додаткові податкові зобов’язання, штрафи та пеню у разі, якщо податкові органи піддадуть сумніву певне тлумачення, засноване на судженні керівництва Товариства. Податкові записи залишаються відкритими для перегляду податковими органами протягом трьох років.</w:t>
      </w:r>
    </w:p>
    <w:p w:rsidR="005E41F3" w:rsidRPr="00233527" w:rsidRDefault="005E41F3" w:rsidP="005E41F3">
      <w:pPr>
        <w:shd w:val="clear" w:color="auto" w:fill="FFFFFF"/>
        <w:autoSpaceDE w:val="0"/>
        <w:autoSpaceDN w:val="0"/>
        <w:adjustRightInd w:val="0"/>
        <w:spacing w:before="120" w:after="120"/>
        <w:ind w:firstLine="624"/>
        <w:jc w:val="both"/>
        <w:rPr>
          <w:lang w:val="uk-UA"/>
        </w:rPr>
      </w:pPr>
      <w:r w:rsidRPr="00233527">
        <w:rPr>
          <w:b/>
          <w:i/>
          <w:lang w:val="uk-UA"/>
        </w:rPr>
        <w:t xml:space="preserve">Строки корисного використання основних засобів. </w:t>
      </w:r>
      <w:r w:rsidRPr="00233527">
        <w:rPr>
          <w:lang w:val="uk-UA"/>
        </w:rPr>
        <w:t>Оцінка строків корисного використання об'єктів основних засобів залежить від професійного судження керівництва, яке ґрунтується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C42918" w:rsidRPr="00601BCC" w:rsidRDefault="00C42918" w:rsidP="005E41F3">
      <w:pPr>
        <w:spacing w:before="120" w:after="120"/>
        <w:ind w:firstLine="624"/>
        <w:jc w:val="both"/>
        <w:rPr>
          <w:lang w:val="uk-UA"/>
        </w:rPr>
      </w:pPr>
      <w:r w:rsidRPr="005E41F3">
        <w:rPr>
          <w:b/>
          <w:bCs/>
          <w:i/>
          <w:lang w:val="uk-UA"/>
        </w:rPr>
        <w:t>Судові спори і претензії</w:t>
      </w:r>
      <w:r w:rsidR="005E41F3">
        <w:rPr>
          <w:b/>
          <w:bCs/>
          <w:i/>
          <w:lang w:val="uk-UA"/>
        </w:rPr>
        <w:t xml:space="preserve">. </w:t>
      </w:r>
      <w:r w:rsidRPr="00601BCC">
        <w:rPr>
          <w:lang w:val="uk-UA"/>
        </w:rPr>
        <w:t xml:space="preserve">Товариство може бути об’єктом різного роду судових спорів і претензій, включаючи розгляди за справами про оскарження нормативних актів, стосовно результату яких існує значний ступінь невизначеності. Керівництво проводить оцінку, серед інших чинників, ступеню ймовірності несприятливого результату і можливості реальної оцінки суми збитку. </w:t>
      </w:r>
    </w:p>
    <w:p w:rsidR="00C42918" w:rsidRPr="00601BCC" w:rsidRDefault="00C42918" w:rsidP="00C42918">
      <w:pPr>
        <w:spacing w:before="120" w:after="120"/>
        <w:jc w:val="both"/>
        <w:rPr>
          <w:lang w:val="uk-UA"/>
        </w:rPr>
      </w:pPr>
      <w:r w:rsidRPr="00601BCC">
        <w:rPr>
          <w:lang w:val="uk-UA"/>
        </w:rPr>
        <w:t>Непередбачувані події або зміни цих факторів можуть вимагати збільшення або зменшення суми до нарахування або вимагати нарахування суми, не нарахованої раніше внаслідок того, що таке нарахування не вважалося ймовірним або реальна оцінка не була можливою.</w:t>
      </w:r>
    </w:p>
    <w:p w:rsidR="00C42918" w:rsidRPr="00603C20" w:rsidRDefault="00C42918" w:rsidP="00C42918">
      <w:pPr>
        <w:spacing w:before="120" w:after="120"/>
        <w:rPr>
          <w:b/>
          <w:smallCaps/>
          <w:lang w:val="uk-UA"/>
        </w:rPr>
      </w:pPr>
      <w:r w:rsidRPr="00603C20">
        <w:rPr>
          <w:b/>
          <w:smallCaps/>
          <w:lang w:val="uk-UA"/>
        </w:rPr>
        <w:t>7. Розкриття  показників фінансової звітності</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bCs/>
          <w:iCs/>
          <w:color w:val="000000"/>
          <w:lang w:val="uk-UA" w:eastAsia="uk-UA"/>
        </w:rPr>
        <w:t>7.1. Розкриття інформації, що підтверджує статті, подані у Звіті про фінансовий стан</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i/>
          <w:color w:val="000000"/>
          <w:lang w:val="uk-UA" w:eastAsia="en-US"/>
        </w:rPr>
        <w:t xml:space="preserve"> Основні засоби.</w:t>
      </w:r>
    </w:p>
    <w:p w:rsidR="00603C20" w:rsidRDefault="00603C20" w:rsidP="00603C20">
      <w:pPr>
        <w:spacing w:before="60"/>
        <w:jc w:val="both"/>
        <w:rPr>
          <w:rStyle w:val="hps"/>
          <w:lang w:val="uk-UA"/>
        </w:rPr>
      </w:pPr>
      <w:r w:rsidRPr="00603C20">
        <w:rPr>
          <w:rStyle w:val="hps"/>
          <w:lang w:val="uk-UA"/>
        </w:rPr>
        <w:t>Рух основ</w:t>
      </w:r>
      <w:r w:rsidR="00A72B53">
        <w:rPr>
          <w:rStyle w:val="hps"/>
          <w:lang w:val="uk-UA"/>
        </w:rPr>
        <w:t>них засобів за період 01.01.2021</w:t>
      </w:r>
      <w:r w:rsidR="00D81E9C">
        <w:rPr>
          <w:rStyle w:val="hps"/>
          <w:lang w:val="uk-UA"/>
        </w:rPr>
        <w:t xml:space="preserve"> року по 31</w:t>
      </w:r>
      <w:r w:rsidR="00A72B53">
        <w:rPr>
          <w:rStyle w:val="hps"/>
          <w:lang w:val="uk-UA"/>
        </w:rPr>
        <w:t>.12.2021</w:t>
      </w:r>
      <w:r w:rsidRPr="00603C20">
        <w:rPr>
          <w:rStyle w:val="hps"/>
          <w:lang w:val="uk-UA"/>
        </w:rPr>
        <w:t xml:space="preserve"> року був наступним:</w:t>
      </w:r>
    </w:p>
    <w:p w:rsidR="008243F2" w:rsidRPr="00603C20" w:rsidRDefault="008243F2" w:rsidP="008243F2">
      <w:pPr>
        <w:spacing w:before="60"/>
        <w:jc w:val="right"/>
        <w:rPr>
          <w:rStyle w:val="hps"/>
          <w:lang w:val="uk-UA"/>
        </w:rPr>
      </w:pPr>
      <w:r>
        <w:rPr>
          <w:rStyle w:val="hps"/>
          <w:lang w:val="uk-UA"/>
        </w:rPr>
        <w:lastRenderedPageBreak/>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985"/>
        <w:gridCol w:w="1134"/>
        <w:gridCol w:w="1417"/>
      </w:tblGrid>
      <w:tr w:rsidR="00603C20" w:rsidRPr="00603C20" w:rsidTr="008243F2">
        <w:trPr>
          <w:trHeight w:val="578"/>
        </w:trPr>
        <w:tc>
          <w:tcPr>
            <w:tcW w:w="2977" w:type="dxa"/>
            <w:shd w:val="clear" w:color="auto" w:fill="auto"/>
            <w:noWrap/>
            <w:vAlign w:val="bottom"/>
          </w:tcPr>
          <w:p w:rsidR="00603C20" w:rsidRPr="00603C20" w:rsidRDefault="00603C20" w:rsidP="00F83824">
            <w:pPr>
              <w:spacing w:before="60"/>
              <w:rPr>
                <w:lang w:val="uk-UA"/>
              </w:rPr>
            </w:pPr>
          </w:p>
        </w:tc>
        <w:tc>
          <w:tcPr>
            <w:tcW w:w="2126" w:type="dxa"/>
            <w:shd w:val="clear" w:color="auto" w:fill="auto"/>
            <w:vAlign w:val="center"/>
          </w:tcPr>
          <w:p w:rsidR="00603C20" w:rsidRPr="00603C20" w:rsidRDefault="00603C20" w:rsidP="00F83824">
            <w:pPr>
              <w:spacing w:before="60"/>
              <w:jc w:val="center"/>
              <w:rPr>
                <w:b/>
                <w:bCs/>
                <w:lang w:val="uk-UA"/>
              </w:rPr>
            </w:pPr>
            <w:r>
              <w:rPr>
                <w:b/>
                <w:bCs/>
                <w:lang w:val="uk-UA"/>
              </w:rPr>
              <w:t>Машини і обладнання</w:t>
            </w:r>
          </w:p>
        </w:tc>
        <w:tc>
          <w:tcPr>
            <w:tcW w:w="1985" w:type="dxa"/>
            <w:shd w:val="clear" w:color="auto" w:fill="auto"/>
            <w:vAlign w:val="bottom"/>
          </w:tcPr>
          <w:p w:rsidR="00603C20" w:rsidRPr="00603C20" w:rsidRDefault="00603C20" w:rsidP="00F83824">
            <w:pPr>
              <w:spacing w:before="60"/>
              <w:jc w:val="center"/>
              <w:rPr>
                <w:b/>
                <w:bCs/>
                <w:lang w:val="uk-UA"/>
              </w:rPr>
            </w:pPr>
            <w:r>
              <w:rPr>
                <w:b/>
                <w:bCs/>
                <w:lang w:val="uk-UA"/>
              </w:rPr>
              <w:t>Інструменти, приладдя та інвентар</w:t>
            </w:r>
          </w:p>
        </w:tc>
        <w:tc>
          <w:tcPr>
            <w:tcW w:w="1134" w:type="dxa"/>
            <w:shd w:val="clear" w:color="auto" w:fill="auto"/>
            <w:vAlign w:val="bottom"/>
          </w:tcPr>
          <w:p w:rsidR="00603C20" w:rsidRPr="00603C20" w:rsidRDefault="00603C20" w:rsidP="00F83824">
            <w:pPr>
              <w:spacing w:before="60"/>
              <w:jc w:val="center"/>
              <w:rPr>
                <w:b/>
                <w:bCs/>
                <w:lang w:val="uk-UA"/>
              </w:rPr>
            </w:pPr>
            <w:r>
              <w:rPr>
                <w:b/>
                <w:bCs/>
                <w:lang w:val="uk-UA"/>
              </w:rPr>
              <w:t>Інші</w:t>
            </w:r>
          </w:p>
        </w:tc>
        <w:tc>
          <w:tcPr>
            <w:tcW w:w="1417" w:type="dxa"/>
            <w:shd w:val="clear" w:color="auto" w:fill="auto"/>
            <w:vAlign w:val="center"/>
          </w:tcPr>
          <w:p w:rsidR="00603C20" w:rsidRPr="00603C20" w:rsidRDefault="00603C20" w:rsidP="00F83824">
            <w:pPr>
              <w:spacing w:before="60"/>
              <w:jc w:val="center"/>
              <w:rPr>
                <w:b/>
                <w:bCs/>
                <w:lang w:val="uk-UA"/>
              </w:rPr>
            </w:pPr>
            <w:r w:rsidRPr="00603C20">
              <w:rPr>
                <w:b/>
                <w:bCs/>
                <w:lang w:val="uk-UA"/>
              </w:rPr>
              <w:t>Всього</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Первісна вартість</w:t>
            </w:r>
          </w:p>
        </w:tc>
        <w:tc>
          <w:tcPr>
            <w:tcW w:w="2126" w:type="dxa"/>
            <w:shd w:val="clear" w:color="auto" w:fill="auto"/>
            <w:noWrap/>
            <w:vAlign w:val="bottom"/>
          </w:tcPr>
          <w:p w:rsidR="00603C20" w:rsidRPr="00603C20" w:rsidRDefault="00603C20" w:rsidP="00F83824">
            <w:pPr>
              <w:spacing w:before="60"/>
              <w:jc w:val="right"/>
              <w:rPr>
                <w:lang w:val="uk-UA"/>
              </w:rPr>
            </w:pPr>
          </w:p>
        </w:tc>
        <w:tc>
          <w:tcPr>
            <w:tcW w:w="1985" w:type="dxa"/>
            <w:shd w:val="clear" w:color="auto" w:fill="auto"/>
          </w:tcPr>
          <w:p w:rsidR="00603C20" w:rsidRPr="00603C20" w:rsidRDefault="00603C20" w:rsidP="00F83824">
            <w:pPr>
              <w:spacing w:before="60"/>
              <w:jc w:val="right"/>
              <w:rPr>
                <w:lang w:val="uk-UA"/>
              </w:rPr>
            </w:pPr>
          </w:p>
        </w:tc>
        <w:tc>
          <w:tcPr>
            <w:tcW w:w="1134" w:type="dxa"/>
            <w:shd w:val="clear" w:color="auto" w:fill="auto"/>
            <w:noWrap/>
            <w:vAlign w:val="bottom"/>
          </w:tcPr>
          <w:p w:rsidR="00603C20" w:rsidRPr="00603C20" w:rsidRDefault="00603C20" w:rsidP="00F83824">
            <w:pPr>
              <w:spacing w:before="60"/>
              <w:jc w:val="right"/>
              <w:rPr>
                <w:lang w:val="uk-UA"/>
              </w:rPr>
            </w:pPr>
          </w:p>
        </w:tc>
        <w:tc>
          <w:tcPr>
            <w:tcW w:w="1417" w:type="dxa"/>
            <w:shd w:val="clear" w:color="auto" w:fill="auto"/>
            <w:noWrap/>
            <w:vAlign w:val="bottom"/>
          </w:tcPr>
          <w:p w:rsidR="00603C20" w:rsidRPr="00603C20"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D53972" w:rsidP="00F83824">
            <w:pPr>
              <w:spacing w:before="60"/>
              <w:ind w:firstLineChars="100" w:firstLine="240"/>
              <w:rPr>
                <w:lang w:val="uk-UA"/>
              </w:rPr>
            </w:pPr>
            <w:r>
              <w:rPr>
                <w:lang w:val="uk-UA"/>
              </w:rPr>
              <w:t>на 01.01.2021</w:t>
            </w:r>
            <w:r w:rsidR="00603C20" w:rsidRPr="00603C20">
              <w:rPr>
                <w:lang w:val="uk-UA"/>
              </w:rPr>
              <w:t xml:space="preserve"> р.</w:t>
            </w:r>
          </w:p>
        </w:tc>
        <w:tc>
          <w:tcPr>
            <w:tcW w:w="2126" w:type="dxa"/>
            <w:shd w:val="clear" w:color="auto" w:fill="auto"/>
            <w:noWrap/>
            <w:vAlign w:val="bottom"/>
          </w:tcPr>
          <w:p w:rsidR="00603C20" w:rsidRPr="00603C20" w:rsidRDefault="00D53972" w:rsidP="00F83824">
            <w:pPr>
              <w:spacing w:before="60"/>
              <w:jc w:val="right"/>
              <w:rPr>
                <w:lang w:val="uk-UA"/>
              </w:rPr>
            </w:pPr>
            <w:r>
              <w:rPr>
                <w:lang w:val="uk-UA"/>
              </w:rPr>
              <w:t>162</w:t>
            </w:r>
          </w:p>
        </w:tc>
        <w:tc>
          <w:tcPr>
            <w:tcW w:w="1985" w:type="dxa"/>
            <w:shd w:val="clear" w:color="auto" w:fill="auto"/>
          </w:tcPr>
          <w:p w:rsidR="00603C20" w:rsidRPr="00603C20" w:rsidRDefault="001D3A04" w:rsidP="00F83824">
            <w:pPr>
              <w:spacing w:before="60"/>
              <w:jc w:val="right"/>
              <w:rPr>
                <w:lang w:val="uk-UA"/>
              </w:rPr>
            </w:pPr>
            <w:r>
              <w:rPr>
                <w:lang w:val="uk-UA"/>
              </w:rPr>
              <w:t>23</w:t>
            </w:r>
          </w:p>
        </w:tc>
        <w:tc>
          <w:tcPr>
            <w:tcW w:w="1134" w:type="dxa"/>
            <w:shd w:val="clear" w:color="auto" w:fill="auto"/>
            <w:noWrap/>
            <w:vAlign w:val="bottom"/>
          </w:tcPr>
          <w:p w:rsidR="00603C20" w:rsidRPr="00603C20" w:rsidRDefault="00D53972" w:rsidP="00F83824">
            <w:pPr>
              <w:spacing w:before="60"/>
              <w:jc w:val="right"/>
              <w:rPr>
                <w:lang w:val="uk-UA"/>
              </w:rPr>
            </w:pPr>
            <w:r>
              <w:rPr>
                <w:lang w:val="uk-UA"/>
              </w:rPr>
              <w:t>521</w:t>
            </w:r>
          </w:p>
        </w:tc>
        <w:tc>
          <w:tcPr>
            <w:tcW w:w="1417" w:type="dxa"/>
            <w:shd w:val="clear" w:color="auto" w:fill="auto"/>
            <w:noWrap/>
            <w:vAlign w:val="bottom"/>
          </w:tcPr>
          <w:p w:rsidR="00603C20" w:rsidRPr="00603C20" w:rsidRDefault="00D53972" w:rsidP="00F83824">
            <w:pPr>
              <w:spacing w:before="60"/>
              <w:jc w:val="right"/>
              <w:rPr>
                <w:lang w:val="uk-UA"/>
              </w:rPr>
            </w:pPr>
            <w:r>
              <w:rPr>
                <w:lang w:val="uk-UA"/>
              </w:rPr>
              <w:t>706</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Надійшло</w:t>
            </w:r>
          </w:p>
        </w:tc>
        <w:tc>
          <w:tcPr>
            <w:tcW w:w="2126" w:type="dxa"/>
            <w:shd w:val="clear" w:color="auto" w:fill="auto"/>
            <w:noWrap/>
            <w:vAlign w:val="bottom"/>
          </w:tcPr>
          <w:p w:rsidR="00603C20" w:rsidRPr="00603C20" w:rsidRDefault="00D53972" w:rsidP="00F83824">
            <w:pPr>
              <w:spacing w:before="60"/>
              <w:jc w:val="right"/>
              <w:rPr>
                <w:lang w:val="uk-UA"/>
              </w:rPr>
            </w:pPr>
            <w:r>
              <w:rPr>
                <w:lang w:val="uk-UA"/>
              </w:rPr>
              <w:t>0</w:t>
            </w:r>
          </w:p>
        </w:tc>
        <w:tc>
          <w:tcPr>
            <w:tcW w:w="1985" w:type="dxa"/>
            <w:shd w:val="clear" w:color="auto" w:fill="auto"/>
          </w:tcPr>
          <w:p w:rsidR="00603C20" w:rsidRPr="00603C20" w:rsidRDefault="001D3A04" w:rsidP="00F83824">
            <w:pPr>
              <w:spacing w:before="60"/>
              <w:jc w:val="right"/>
              <w:rPr>
                <w:lang w:val="uk-UA"/>
              </w:rPr>
            </w:pPr>
            <w:r>
              <w:rPr>
                <w:lang w:val="uk-UA"/>
              </w:rPr>
              <w:t>0</w:t>
            </w:r>
          </w:p>
        </w:tc>
        <w:tc>
          <w:tcPr>
            <w:tcW w:w="1134" w:type="dxa"/>
            <w:shd w:val="clear" w:color="auto" w:fill="auto"/>
            <w:noWrap/>
            <w:vAlign w:val="bottom"/>
          </w:tcPr>
          <w:p w:rsidR="00603C20" w:rsidRPr="00603C20" w:rsidRDefault="00D53972" w:rsidP="00F83824">
            <w:pPr>
              <w:spacing w:before="60"/>
              <w:jc w:val="right"/>
              <w:rPr>
                <w:lang w:val="uk-UA"/>
              </w:rPr>
            </w:pPr>
            <w:r>
              <w:rPr>
                <w:lang w:val="uk-UA"/>
              </w:rPr>
              <w:t>0</w:t>
            </w:r>
          </w:p>
        </w:tc>
        <w:tc>
          <w:tcPr>
            <w:tcW w:w="1417" w:type="dxa"/>
            <w:shd w:val="clear" w:color="auto" w:fill="auto"/>
            <w:noWrap/>
            <w:vAlign w:val="bottom"/>
          </w:tcPr>
          <w:p w:rsidR="00603C20" w:rsidRPr="00603C20" w:rsidRDefault="00D53972" w:rsidP="00F83824">
            <w:pPr>
              <w:spacing w:before="60"/>
              <w:jc w:val="right"/>
              <w:rPr>
                <w:lang w:val="uk-UA"/>
              </w:rPr>
            </w:pPr>
            <w:r>
              <w:rPr>
                <w:lang w:val="uk-UA"/>
              </w:rPr>
              <w:t>0</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Вибуло</w:t>
            </w:r>
          </w:p>
        </w:tc>
        <w:tc>
          <w:tcPr>
            <w:tcW w:w="2126"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985" w:type="dxa"/>
            <w:shd w:val="clear" w:color="auto" w:fill="auto"/>
          </w:tcPr>
          <w:p w:rsidR="00603C20" w:rsidRPr="00603C20" w:rsidRDefault="009748E9" w:rsidP="00F83824">
            <w:pPr>
              <w:spacing w:before="60"/>
              <w:jc w:val="right"/>
              <w:rPr>
                <w:lang w:val="uk-UA"/>
              </w:rPr>
            </w:pPr>
            <w:r>
              <w:rPr>
                <w:lang w:val="uk-UA"/>
              </w:rPr>
              <w:t>0</w:t>
            </w:r>
          </w:p>
        </w:tc>
        <w:tc>
          <w:tcPr>
            <w:tcW w:w="1134"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417"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r>
      <w:tr w:rsidR="00603C20" w:rsidRPr="00603C20" w:rsidTr="008243F2">
        <w:trPr>
          <w:trHeight w:val="20"/>
        </w:trPr>
        <w:tc>
          <w:tcPr>
            <w:tcW w:w="2977" w:type="dxa"/>
            <w:shd w:val="clear" w:color="auto" w:fill="auto"/>
            <w:noWrap/>
            <w:vAlign w:val="bottom"/>
          </w:tcPr>
          <w:p w:rsidR="00603C20" w:rsidRPr="00603C20" w:rsidRDefault="00D53972" w:rsidP="00F83824">
            <w:pPr>
              <w:spacing w:before="60"/>
              <w:ind w:firstLineChars="100" w:firstLine="240"/>
              <w:rPr>
                <w:lang w:val="uk-UA"/>
              </w:rPr>
            </w:pPr>
            <w:r>
              <w:rPr>
                <w:lang w:val="uk-UA"/>
              </w:rPr>
              <w:t>на 31.12.2021</w:t>
            </w:r>
            <w:r w:rsidR="00603C20" w:rsidRPr="00603C20">
              <w:rPr>
                <w:lang w:val="uk-UA"/>
              </w:rPr>
              <w:t xml:space="preserve"> р.</w:t>
            </w:r>
          </w:p>
        </w:tc>
        <w:tc>
          <w:tcPr>
            <w:tcW w:w="2126" w:type="dxa"/>
            <w:shd w:val="clear" w:color="auto" w:fill="auto"/>
            <w:noWrap/>
            <w:vAlign w:val="bottom"/>
          </w:tcPr>
          <w:p w:rsidR="00603C20" w:rsidRPr="0068768B" w:rsidRDefault="001D3A04" w:rsidP="00F83824">
            <w:pPr>
              <w:spacing w:before="60"/>
              <w:jc w:val="right"/>
              <w:rPr>
                <w:lang w:val="uk-UA"/>
              </w:rPr>
            </w:pPr>
            <w:r>
              <w:rPr>
                <w:lang w:val="uk-UA"/>
              </w:rPr>
              <w:t>162</w:t>
            </w:r>
          </w:p>
        </w:tc>
        <w:tc>
          <w:tcPr>
            <w:tcW w:w="1985" w:type="dxa"/>
            <w:shd w:val="clear" w:color="auto" w:fill="auto"/>
          </w:tcPr>
          <w:p w:rsidR="00603C20" w:rsidRPr="0068768B" w:rsidRDefault="009748E9" w:rsidP="00F83824">
            <w:pPr>
              <w:spacing w:before="60"/>
              <w:jc w:val="right"/>
              <w:rPr>
                <w:lang w:val="uk-UA"/>
              </w:rPr>
            </w:pPr>
            <w:r w:rsidRPr="0068768B">
              <w:rPr>
                <w:lang w:val="uk-UA"/>
              </w:rPr>
              <w:t>2</w:t>
            </w:r>
            <w:r w:rsidR="0068768B" w:rsidRPr="0068768B">
              <w:rPr>
                <w:lang w:val="uk-UA"/>
              </w:rPr>
              <w:t>3</w:t>
            </w:r>
          </w:p>
        </w:tc>
        <w:tc>
          <w:tcPr>
            <w:tcW w:w="1134" w:type="dxa"/>
            <w:shd w:val="clear" w:color="auto" w:fill="auto"/>
            <w:noWrap/>
            <w:vAlign w:val="bottom"/>
          </w:tcPr>
          <w:p w:rsidR="00603C20" w:rsidRPr="0068768B" w:rsidRDefault="001D3A04" w:rsidP="00F83824">
            <w:pPr>
              <w:spacing w:before="60"/>
              <w:jc w:val="right"/>
              <w:rPr>
                <w:lang w:val="uk-UA"/>
              </w:rPr>
            </w:pPr>
            <w:r>
              <w:rPr>
                <w:lang w:val="uk-UA"/>
              </w:rPr>
              <w:t>521</w:t>
            </w:r>
          </w:p>
        </w:tc>
        <w:tc>
          <w:tcPr>
            <w:tcW w:w="1417" w:type="dxa"/>
            <w:shd w:val="clear" w:color="auto" w:fill="auto"/>
            <w:noWrap/>
            <w:vAlign w:val="bottom"/>
          </w:tcPr>
          <w:p w:rsidR="00603C20" w:rsidRPr="0068768B" w:rsidRDefault="001D3A04" w:rsidP="00F83824">
            <w:pPr>
              <w:spacing w:before="60"/>
              <w:jc w:val="right"/>
              <w:rPr>
                <w:lang w:val="uk-UA"/>
              </w:rPr>
            </w:pPr>
            <w:r>
              <w:rPr>
                <w:lang w:val="uk-UA"/>
              </w:rPr>
              <w:t>706</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Знос</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D53972" w:rsidP="00F83824">
            <w:pPr>
              <w:spacing w:before="60"/>
              <w:ind w:firstLineChars="100" w:firstLine="240"/>
              <w:rPr>
                <w:lang w:val="uk-UA"/>
              </w:rPr>
            </w:pPr>
            <w:r>
              <w:rPr>
                <w:lang w:val="uk-UA"/>
              </w:rPr>
              <w:t>на 01.01.2021</w:t>
            </w:r>
            <w:r w:rsidR="00603C20" w:rsidRPr="00603C20">
              <w:rPr>
                <w:lang w:val="uk-UA"/>
              </w:rPr>
              <w:t xml:space="preserve"> р.</w:t>
            </w:r>
          </w:p>
        </w:tc>
        <w:tc>
          <w:tcPr>
            <w:tcW w:w="2126" w:type="dxa"/>
            <w:shd w:val="clear" w:color="auto" w:fill="auto"/>
            <w:noWrap/>
            <w:vAlign w:val="bottom"/>
          </w:tcPr>
          <w:p w:rsidR="00603C20" w:rsidRPr="0068768B" w:rsidRDefault="00D53972" w:rsidP="00F83824">
            <w:pPr>
              <w:spacing w:before="60"/>
              <w:jc w:val="right"/>
              <w:rPr>
                <w:lang w:val="uk-UA"/>
              </w:rPr>
            </w:pPr>
            <w:r>
              <w:rPr>
                <w:lang w:val="uk-UA"/>
              </w:rPr>
              <w:t>115</w:t>
            </w:r>
          </w:p>
        </w:tc>
        <w:tc>
          <w:tcPr>
            <w:tcW w:w="1985" w:type="dxa"/>
            <w:shd w:val="clear" w:color="auto" w:fill="auto"/>
          </w:tcPr>
          <w:p w:rsidR="00603C20" w:rsidRPr="0068768B" w:rsidRDefault="00D0650A" w:rsidP="00F83824">
            <w:pPr>
              <w:spacing w:before="60"/>
              <w:jc w:val="right"/>
              <w:rPr>
                <w:lang w:val="uk-UA"/>
              </w:rPr>
            </w:pPr>
            <w:r>
              <w:rPr>
                <w:lang w:val="uk-UA"/>
              </w:rPr>
              <w:t>0</w:t>
            </w:r>
          </w:p>
        </w:tc>
        <w:tc>
          <w:tcPr>
            <w:tcW w:w="1134" w:type="dxa"/>
            <w:shd w:val="clear" w:color="auto" w:fill="auto"/>
            <w:noWrap/>
            <w:vAlign w:val="bottom"/>
          </w:tcPr>
          <w:p w:rsidR="00603C20" w:rsidRPr="0068768B" w:rsidRDefault="00D53972" w:rsidP="00F83824">
            <w:pPr>
              <w:spacing w:before="60"/>
              <w:jc w:val="right"/>
              <w:rPr>
                <w:lang w:val="uk-UA"/>
              </w:rPr>
            </w:pPr>
            <w:r>
              <w:rPr>
                <w:lang w:val="uk-UA"/>
              </w:rPr>
              <w:t>521</w:t>
            </w:r>
          </w:p>
        </w:tc>
        <w:tc>
          <w:tcPr>
            <w:tcW w:w="1417" w:type="dxa"/>
            <w:shd w:val="clear" w:color="auto" w:fill="auto"/>
            <w:noWrap/>
            <w:vAlign w:val="bottom"/>
          </w:tcPr>
          <w:p w:rsidR="00603C20" w:rsidRPr="0068768B" w:rsidRDefault="00107892" w:rsidP="00F83824">
            <w:pPr>
              <w:spacing w:before="60"/>
              <w:jc w:val="right"/>
              <w:rPr>
                <w:lang w:val="uk-UA"/>
              </w:rPr>
            </w:pPr>
            <w:r>
              <w:rPr>
                <w:lang w:val="uk-UA"/>
              </w:rPr>
              <w:t>571</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Нараховано</w:t>
            </w:r>
          </w:p>
        </w:tc>
        <w:tc>
          <w:tcPr>
            <w:tcW w:w="2126" w:type="dxa"/>
            <w:shd w:val="clear" w:color="auto" w:fill="auto"/>
            <w:noWrap/>
            <w:vAlign w:val="bottom"/>
          </w:tcPr>
          <w:p w:rsidR="00603C20" w:rsidRPr="0068768B" w:rsidRDefault="00402FAE" w:rsidP="00F83824">
            <w:pPr>
              <w:spacing w:before="60"/>
              <w:jc w:val="right"/>
              <w:rPr>
                <w:lang w:val="uk-UA"/>
              </w:rPr>
            </w:pPr>
            <w:r>
              <w:rPr>
                <w:lang w:val="uk-UA"/>
              </w:rPr>
              <w:t>45</w:t>
            </w:r>
          </w:p>
        </w:tc>
        <w:tc>
          <w:tcPr>
            <w:tcW w:w="1985" w:type="dxa"/>
            <w:shd w:val="clear" w:color="auto" w:fill="auto"/>
          </w:tcPr>
          <w:p w:rsidR="00603C20" w:rsidRPr="0068768B" w:rsidRDefault="00803092" w:rsidP="00F83824">
            <w:pPr>
              <w:spacing w:before="60"/>
              <w:jc w:val="right"/>
              <w:rPr>
                <w:lang w:val="uk-UA"/>
              </w:rPr>
            </w:pPr>
            <w:r>
              <w:rPr>
                <w:lang w:val="uk-UA"/>
              </w:rPr>
              <w:t>0</w:t>
            </w:r>
          </w:p>
        </w:tc>
        <w:tc>
          <w:tcPr>
            <w:tcW w:w="1134" w:type="dxa"/>
            <w:shd w:val="clear" w:color="auto" w:fill="auto"/>
            <w:noWrap/>
            <w:vAlign w:val="bottom"/>
          </w:tcPr>
          <w:p w:rsidR="00603C20" w:rsidRPr="00803092" w:rsidRDefault="00803092" w:rsidP="00F83824">
            <w:pPr>
              <w:spacing w:before="60"/>
              <w:jc w:val="right"/>
              <w:rPr>
                <w:lang w:val="en-US"/>
              </w:rPr>
            </w:pPr>
            <w:r>
              <w:rPr>
                <w:lang w:val="en-US"/>
              </w:rPr>
              <w:t>0</w:t>
            </w:r>
          </w:p>
        </w:tc>
        <w:tc>
          <w:tcPr>
            <w:tcW w:w="1417" w:type="dxa"/>
            <w:shd w:val="clear" w:color="auto" w:fill="auto"/>
            <w:noWrap/>
            <w:vAlign w:val="bottom"/>
          </w:tcPr>
          <w:p w:rsidR="00603C20" w:rsidRPr="00803092" w:rsidRDefault="00803092" w:rsidP="00F83824">
            <w:pPr>
              <w:spacing w:before="60"/>
              <w:jc w:val="right"/>
            </w:pPr>
            <w:r>
              <w:rPr>
                <w:lang w:val="uk-UA"/>
              </w:rPr>
              <w:t>45</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Вибуло</w:t>
            </w:r>
          </w:p>
        </w:tc>
        <w:tc>
          <w:tcPr>
            <w:tcW w:w="2126"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985" w:type="dxa"/>
            <w:shd w:val="clear" w:color="auto" w:fill="auto"/>
          </w:tcPr>
          <w:p w:rsidR="00603C20" w:rsidRPr="0068768B" w:rsidRDefault="009748E9" w:rsidP="00F83824">
            <w:pPr>
              <w:spacing w:before="60"/>
              <w:jc w:val="right"/>
              <w:rPr>
                <w:lang w:val="uk-UA"/>
              </w:rPr>
            </w:pPr>
            <w:r w:rsidRPr="0068768B">
              <w:rPr>
                <w:lang w:val="uk-UA"/>
              </w:rPr>
              <w:t>0</w:t>
            </w:r>
          </w:p>
        </w:tc>
        <w:tc>
          <w:tcPr>
            <w:tcW w:w="1134"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417"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r>
      <w:tr w:rsidR="00603C20" w:rsidRPr="00603C20" w:rsidTr="008243F2">
        <w:trPr>
          <w:trHeight w:val="20"/>
        </w:trPr>
        <w:tc>
          <w:tcPr>
            <w:tcW w:w="2977" w:type="dxa"/>
            <w:shd w:val="clear" w:color="auto" w:fill="auto"/>
            <w:noWrap/>
            <w:vAlign w:val="bottom"/>
          </w:tcPr>
          <w:p w:rsidR="00603C20" w:rsidRPr="00603C20" w:rsidRDefault="00D53972" w:rsidP="00F83824">
            <w:pPr>
              <w:spacing w:before="60"/>
              <w:ind w:firstLineChars="100" w:firstLine="240"/>
              <w:rPr>
                <w:lang w:val="uk-UA"/>
              </w:rPr>
            </w:pPr>
            <w:r>
              <w:rPr>
                <w:lang w:val="uk-UA"/>
              </w:rPr>
              <w:t>на 31.12.2021</w:t>
            </w:r>
            <w:r w:rsidR="00603C20" w:rsidRPr="00603C20">
              <w:rPr>
                <w:lang w:val="uk-UA"/>
              </w:rPr>
              <w:t xml:space="preserve"> р.</w:t>
            </w:r>
          </w:p>
        </w:tc>
        <w:tc>
          <w:tcPr>
            <w:tcW w:w="2126" w:type="dxa"/>
            <w:shd w:val="clear" w:color="auto" w:fill="auto"/>
            <w:noWrap/>
            <w:vAlign w:val="bottom"/>
          </w:tcPr>
          <w:p w:rsidR="00603C20" w:rsidRPr="0068768B" w:rsidRDefault="00B50807" w:rsidP="00F83824">
            <w:pPr>
              <w:spacing w:before="60"/>
              <w:jc w:val="right"/>
              <w:rPr>
                <w:lang w:val="uk-UA"/>
              </w:rPr>
            </w:pPr>
            <w:r>
              <w:rPr>
                <w:lang w:val="uk-UA"/>
              </w:rPr>
              <w:t>160</w:t>
            </w:r>
          </w:p>
        </w:tc>
        <w:tc>
          <w:tcPr>
            <w:tcW w:w="1985" w:type="dxa"/>
            <w:shd w:val="clear" w:color="auto" w:fill="auto"/>
          </w:tcPr>
          <w:p w:rsidR="00603C20" w:rsidRPr="0068768B" w:rsidRDefault="00B50807" w:rsidP="00F83824">
            <w:pPr>
              <w:spacing w:before="60"/>
              <w:jc w:val="right"/>
              <w:rPr>
                <w:lang w:val="uk-UA"/>
              </w:rPr>
            </w:pPr>
            <w:r>
              <w:rPr>
                <w:lang w:val="uk-UA"/>
              </w:rPr>
              <w:t>0</w:t>
            </w:r>
          </w:p>
        </w:tc>
        <w:tc>
          <w:tcPr>
            <w:tcW w:w="1134" w:type="dxa"/>
            <w:shd w:val="clear" w:color="auto" w:fill="auto"/>
            <w:noWrap/>
            <w:vAlign w:val="bottom"/>
          </w:tcPr>
          <w:p w:rsidR="00603C20" w:rsidRPr="0068768B" w:rsidRDefault="00D0650A" w:rsidP="00F83824">
            <w:pPr>
              <w:spacing w:before="60"/>
              <w:jc w:val="right"/>
              <w:rPr>
                <w:lang w:val="uk-UA"/>
              </w:rPr>
            </w:pPr>
            <w:r>
              <w:rPr>
                <w:lang w:val="uk-UA"/>
              </w:rPr>
              <w:t>521</w:t>
            </w:r>
          </w:p>
        </w:tc>
        <w:tc>
          <w:tcPr>
            <w:tcW w:w="1417" w:type="dxa"/>
            <w:shd w:val="clear" w:color="auto" w:fill="auto"/>
            <w:noWrap/>
            <w:vAlign w:val="bottom"/>
          </w:tcPr>
          <w:p w:rsidR="00603C20" w:rsidRPr="0068768B" w:rsidRDefault="00B50807" w:rsidP="00F83824">
            <w:pPr>
              <w:spacing w:before="60"/>
              <w:jc w:val="right"/>
              <w:rPr>
                <w:lang w:val="uk-UA"/>
              </w:rPr>
            </w:pPr>
            <w:r>
              <w:rPr>
                <w:lang w:val="uk-UA"/>
              </w:rPr>
              <w:t>681</w:t>
            </w:r>
          </w:p>
        </w:tc>
      </w:tr>
      <w:tr w:rsidR="00603C20" w:rsidRPr="00603C20" w:rsidTr="008243F2">
        <w:trPr>
          <w:trHeight w:val="267"/>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Балансова вартість:</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107892" w:rsidRPr="00603C20" w:rsidTr="008243F2">
        <w:trPr>
          <w:trHeight w:val="20"/>
        </w:trPr>
        <w:tc>
          <w:tcPr>
            <w:tcW w:w="2977" w:type="dxa"/>
            <w:shd w:val="clear" w:color="auto" w:fill="auto"/>
            <w:noWrap/>
            <w:vAlign w:val="bottom"/>
          </w:tcPr>
          <w:p w:rsidR="00107892" w:rsidRPr="00603C20" w:rsidRDefault="00D802A5" w:rsidP="00107892">
            <w:pPr>
              <w:spacing w:before="60"/>
              <w:rPr>
                <w:b/>
                <w:bCs/>
                <w:lang w:val="uk-UA"/>
              </w:rPr>
            </w:pPr>
            <w:r>
              <w:rPr>
                <w:b/>
                <w:bCs/>
                <w:lang w:val="uk-UA"/>
              </w:rPr>
              <w:t>на 01.01.2021</w:t>
            </w:r>
            <w:r w:rsidR="00107892" w:rsidRPr="00603C20">
              <w:rPr>
                <w:b/>
                <w:bCs/>
                <w:lang w:val="uk-UA"/>
              </w:rPr>
              <w:t xml:space="preserve"> р.</w:t>
            </w:r>
          </w:p>
        </w:tc>
        <w:tc>
          <w:tcPr>
            <w:tcW w:w="2126" w:type="dxa"/>
            <w:shd w:val="clear" w:color="auto" w:fill="auto"/>
            <w:noWrap/>
            <w:vAlign w:val="bottom"/>
          </w:tcPr>
          <w:p w:rsidR="00107892" w:rsidRPr="0068768B" w:rsidRDefault="0030364A" w:rsidP="00107892">
            <w:pPr>
              <w:spacing w:before="60"/>
              <w:jc w:val="right"/>
              <w:rPr>
                <w:b/>
                <w:lang w:val="uk-UA"/>
              </w:rPr>
            </w:pPr>
            <w:r>
              <w:rPr>
                <w:b/>
                <w:lang w:val="uk-UA"/>
              </w:rPr>
              <w:t>71</w:t>
            </w:r>
          </w:p>
        </w:tc>
        <w:tc>
          <w:tcPr>
            <w:tcW w:w="1985" w:type="dxa"/>
            <w:shd w:val="clear" w:color="auto" w:fill="auto"/>
          </w:tcPr>
          <w:p w:rsidR="00107892" w:rsidRPr="0068768B" w:rsidRDefault="0030364A" w:rsidP="00107892">
            <w:pPr>
              <w:spacing w:before="60"/>
              <w:jc w:val="right"/>
              <w:rPr>
                <w:b/>
                <w:lang w:val="uk-UA"/>
              </w:rPr>
            </w:pPr>
            <w:r>
              <w:rPr>
                <w:b/>
                <w:lang w:val="uk-UA"/>
              </w:rPr>
              <w:t>45</w:t>
            </w:r>
          </w:p>
        </w:tc>
        <w:tc>
          <w:tcPr>
            <w:tcW w:w="1134" w:type="dxa"/>
            <w:shd w:val="clear" w:color="auto" w:fill="auto"/>
            <w:noWrap/>
            <w:vAlign w:val="bottom"/>
          </w:tcPr>
          <w:p w:rsidR="00107892" w:rsidRPr="0068768B" w:rsidRDefault="00107892" w:rsidP="00107892">
            <w:pPr>
              <w:spacing w:before="60"/>
              <w:jc w:val="right"/>
              <w:rPr>
                <w:b/>
                <w:lang w:val="uk-UA"/>
              </w:rPr>
            </w:pPr>
            <w:r w:rsidRPr="0068768B">
              <w:rPr>
                <w:b/>
                <w:lang w:val="uk-UA"/>
              </w:rPr>
              <w:t>0</w:t>
            </w:r>
          </w:p>
        </w:tc>
        <w:tc>
          <w:tcPr>
            <w:tcW w:w="1417" w:type="dxa"/>
            <w:shd w:val="clear" w:color="auto" w:fill="auto"/>
            <w:noWrap/>
            <w:vAlign w:val="bottom"/>
          </w:tcPr>
          <w:p w:rsidR="00107892" w:rsidRPr="0068768B" w:rsidRDefault="0030364A" w:rsidP="00107892">
            <w:pPr>
              <w:spacing w:before="60"/>
              <w:jc w:val="right"/>
              <w:rPr>
                <w:b/>
                <w:lang w:val="uk-UA"/>
              </w:rPr>
            </w:pPr>
            <w:r>
              <w:rPr>
                <w:b/>
                <w:lang w:val="uk-UA"/>
              </w:rPr>
              <w:t>26</w:t>
            </w:r>
          </w:p>
        </w:tc>
      </w:tr>
      <w:tr w:rsidR="0068768B" w:rsidRPr="00603C20" w:rsidTr="008243F2">
        <w:trPr>
          <w:trHeight w:val="20"/>
        </w:trPr>
        <w:tc>
          <w:tcPr>
            <w:tcW w:w="2977" w:type="dxa"/>
            <w:shd w:val="clear" w:color="auto" w:fill="auto"/>
            <w:noWrap/>
            <w:vAlign w:val="bottom"/>
          </w:tcPr>
          <w:p w:rsidR="0068768B" w:rsidRPr="00603C20" w:rsidRDefault="00D802A5" w:rsidP="0068768B">
            <w:pPr>
              <w:spacing w:before="60"/>
              <w:rPr>
                <w:b/>
                <w:bCs/>
                <w:lang w:val="uk-UA"/>
              </w:rPr>
            </w:pPr>
            <w:r>
              <w:rPr>
                <w:b/>
                <w:bCs/>
                <w:lang w:val="uk-UA"/>
              </w:rPr>
              <w:t>на 31.12.2021</w:t>
            </w:r>
            <w:r w:rsidR="0068768B" w:rsidRPr="00603C20">
              <w:rPr>
                <w:b/>
                <w:bCs/>
                <w:lang w:val="uk-UA"/>
              </w:rPr>
              <w:t xml:space="preserve"> р.</w:t>
            </w:r>
          </w:p>
        </w:tc>
        <w:tc>
          <w:tcPr>
            <w:tcW w:w="2126" w:type="dxa"/>
            <w:shd w:val="clear" w:color="auto" w:fill="auto"/>
            <w:noWrap/>
            <w:vAlign w:val="bottom"/>
          </w:tcPr>
          <w:p w:rsidR="0068768B" w:rsidRPr="0068768B" w:rsidRDefault="0030364A" w:rsidP="0068768B">
            <w:pPr>
              <w:spacing w:before="60"/>
              <w:jc w:val="right"/>
              <w:rPr>
                <w:b/>
                <w:lang w:val="uk-UA"/>
              </w:rPr>
            </w:pPr>
            <w:r>
              <w:rPr>
                <w:b/>
                <w:lang w:val="uk-UA"/>
              </w:rPr>
              <w:t>26</w:t>
            </w:r>
          </w:p>
        </w:tc>
        <w:tc>
          <w:tcPr>
            <w:tcW w:w="1985" w:type="dxa"/>
            <w:shd w:val="clear" w:color="auto" w:fill="auto"/>
          </w:tcPr>
          <w:p w:rsidR="0068768B" w:rsidRPr="0068768B" w:rsidRDefault="002E5EA7" w:rsidP="0068768B">
            <w:pPr>
              <w:spacing w:before="60"/>
              <w:jc w:val="right"/>
              <w:rPr>
                <w:b/>
                <w:lang w:val="uk-UA"/>
              </w:rPr>
            </w:pPr>
            <w:r>
              <w:rPr>
                <w:b/>
                <w:lang w:val="uk-UA"/>
              </w:rPr>
              <w:t>0</w:t>
            </w:r>
          </w:p>
        </w:tc>
        <w:tc>
          <w:tcPr>
            <w:tcW w:w="1134" w:type="dxa"/>
            <w:shd w:val="clear" w:color="auto" w:fill="auto"/>
            <w:noWrap/>
            <w:vAlign w:val="bottom"/>
          </w:tcPr>
          <w:p w:rsidR="0068768B" w:rsidRPr="0068768B" w:rsidRDefault="0068768B" w:rsidP="0068768B">
            <w:pPr>
              <w:spacing w:before="60"/>
              <w:jc w:val="right"/>
              <w:rPr>
                <w:b/>
                <w:lang w:val="uk-UA"/>
              </w:rPr>
            </w:pPr>
            <w:r w:rsidRPr="0068768B">
              <w:rPr>
                <w:b/>
                <w:lang w:val="uk-UA"/>
              </w:rPr>
              <w:t>0</w:t>
            </w:r>
          </w:p>
        </w:tc>
        <w:tc>
          <w:tcPr>
            <w:tcW w:w="1417" w:type="dxa"/>
            <w:shd w:val="clear" w:color="auto" w:fill="auto"/>
            <w:noWrap/>
            <w:vAlign w:val="bottom"/>
          </w:tcPr>
          <w:p w:rsidR="0068768B" w:rsidRPr="0068768B" w:rsidRDefault="0030364A" w:rsidP="0068768B">
            <w:pPr>
              <w:spacing w:before="60"/>
              <w:jc w:val="right"/>
              <w:rPr>
                <w:b/>
                <w:lang w:val="uk-UA"/>
              </w:rPr>
            </w:pPr>
            <w:r>
              <w:rPr>
                <w:b/>
                <w:lang w:val="uk-UA"/>
              </w:rPr>
              <w:t>26</w:t>
            </w:r>
          </w:p>
        </w:tc>
      </w:tr>
    </w:tbl>
    <w:p w:rsidR="00603C20" w:rsidRPr="00603C20" w:rsidRDefault="0068768B" w:rsidP="00603C20">
      <w:pPr>
        <w:spacing w:before="60"/>
        <w:ind w:firstLine="709"/>
        <w:jc w:val="both"/>
        <w:rPr>
          <w:rStyle w:val="hps"/>
          <w:lang w:val="uk-UA"/>
        </w:rPr>
      </w:pPr>
      <w:r>
        <w:rPr>
          <w:rStyle w:val="hps"/>
          <w:lang w:val="uk-UA"/>
        </w:rPr>
        <w:t>Товариство не проводило</w:t>
      </w:r>
      <w:r w:rsidR="00603C20" w:rsidRPr="00603C20">
        <w:rPr>
          <w:rStyle w:val="hps"/>
          <w:lang w:val="uk-UA"/>
        </w:rPr>
        <w:t xml:space="preserve"> переоцінку основ</w:t>
      </w:r>
      <w:r w:rsidR="00D802A5">
        <w:rPr>
          <w:rStyle w:val="hps"/>
          <w:lang w:val="uk-UA"/>
        </w:rPr>
        <w:t>них засобів станом на 31.12.2021</w:t>
      </w:r>
      <w:r w:rsidR="00603C20" w:rsidRPr="00603C20">
        <w:rPr>
          <w:rStyle w:val="hps"/>
          <w:lang w:val="uk-UA"/>
        </w:rPr>
        <w:t xml:space="preserve"> року. На звітну дату основні засоби не були надані у будь-яку заставу та не обмежені у розпорядженні та використанні Товариством.</w:t>
      </w:r>
    </w:p>
    <w:p w:rsidR="00603C20" w:rsidRDefault="00603C20" w:rsidP="00603C20">
      <w:pPr>
        <w:spacing w:before="60"/>
        <w:ind w:firstLine="709"/>
        <w:jc w:val="both"/>
        <w:rPr>
          <w:rStyle w:val="hps"/>
          <w:lang w:val="uk-UA"/>
        </w:rPr>
      </w:pPr>
      <w:r w:rsidRPr="00603C20">
        <w:rPr>
          <w:rStyle w:val="hps"/>
          <w:lang w:val="uk-UA"/>
        </w:rPr>
        <w:t>Основні засоби, що тимчасово не вик</w:t>
      </w:r>
      <w:r w:rsidR="00B50807">
        <w:rPr>
          <w:rStyle w:val="hps"/>
          <w:lang w:val="uk-UA"/>
        </w:rPr>
        <w:t>ористовуються, на 31 грудня 2021</w:t>
      </w:r>
      <w:r w:rsidRPr="00603C20">
        <w:rPr>
          <w:rStyle w:val="hps"/>
          <w:lang w:val="uk-UA"/>
        </w:rPr>
        <w:t xml:space="preserve"> року  відсутні.</w:t>
      </w:r>
    </w:p>
    <w:p w:rsidR="00315346" w:rsidRPr="00195D5E" w:rsidRDefault="00315346" w:rsidP="00603C20">
      <w:pPr>
        <w:spacing w:before="60"/>
        <w:ind w:firstLine="709"/>
        <w:jc w:val="both"/>
        <w:rPr>
          <w:rFonts w:ascii="Cambria" w:hAnsi="Cambria" w:cs="Cambria"/>
          <w:sz w:val="22"/>
          <w:szCs w:val="22"/>
          <w:lang w:val="uk-UA" w:eastAsia="uk-UA"/>
        </w:rPr>
      </w:pPr>
      <w:r w:rsidRPr="00195D5E">
        <w:rPr>
          <w:rFonts w:ascii="Cambria" w:hAnsi="Cambria" w:cs="Cambria"/>
          <w:sz w:val="22"/>
          <w:szCs w:val="22"/>
          <w:lang w:val="uk-UA" w:eastAsia="uk-UA"/>
        </w:rPr>
        <w:t>Вартість</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оформлених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у</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заставу</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основних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засобів</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та</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нематеріальних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активів – не має.</w:t>
      </w:r>
    </w:p>
    <w:p w:rsidR="00315346" w:rsidRPr="00195D5E" w:rsidRDefault="00315346" w:rsidP="00603C20">
      <w:pPr>
        <w:spacing w:before="60"/>
        <w:ind w:firstLine="709"/>
        <w:jc w:val="both"/>
        <w:rPr>
          <w:rFonts w:ascii="Cambria" w:hAnsi="Cambria" w:cs="Cambria"/>
          <w:sz w:val="22"/>
          <w:szCs w:val="22"/>
          <w:lang w:val="uk-UA" w:eastAsia="uk-UA"/>
        </w:rPr>
      </w:pPr>
      <w:r w:rsidRPr="00195D5E">
        <w:rPr>
          <w:rFonts w:ascii="Cambria" w:hAnsi="Cambria" w:cs="Cambria"/>
          <w:sz w:val="22"/>
          <w:szCs w:val="22"/>
          <w:lang w:val="uk-UA" w:eastAsia="uk-UA"/>
        </w:rPr>
        <w:t>Вартість оформлених у заставу основних засобів – такі об’єкти відсутні;</w:t>
      </w:r>
    </w:p>
    <w:p w:rsidR="00315346" w:rsidRPr="00195D5E" w:rsidRDefault="00315346" w:rsidP="00603C20">
      <w:pPr>
        <w:spacing w:before="60"/>
        <w:ind w:firstLine="709"/>
        <w:jc w:val="both"/>
        <w:rPr>
          <w:rFonts w:ascii="Cambria" w:hAnsi="Cambria" w:cs="Cambria"/>
          <w:sz w:val="22"/>
          <w:szCs w:val="22"/>
          <w:lang w:val="uk-UA" w:eastAsia="uk-UA"/>
        </w:rPr>
      </w:pPr>
      <w:r w:rsidRPr="00195D5E">
        <w:rPr>
          <w:rFonts w:ascii="Cambria" w:hAnsi="Cambria" w:cs="Cambria"/>
          <w:sz w:val="22"/>
          <w:szCs w:val="22"/>
          <w:lang w:val="uk-UA" w:eastAsia="uk-UA"/>
        </w:rPr>
        <w:t>Залишкова</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вартість</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основних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засобів</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вилучених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з</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експлуатації</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на</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продаж – такі об’єкти відсутні.</w:t>
      </w:r>
    </w:p>
    <w:p w:rsidR="00315346" w:rsidRPr="00195D5E" w:rsidRDefault="00315346" w:rsidP="00603C20">
      <w:pPr>
        <w:spacing w:before="60"/>
        <w:ind w:firstLine="709"/>
        <w:jc w:val="both"/>
        <w:rPr>
          <w:rFonts w:ascii="Cambria" w:hAnsi="Cambria" w:cs="Cambria"/>
          <w:sz w:val="22"/>
          <w:szCs w:val="22"/>
          <w:lang w:val="uk-UA" w:eastAsia="uk-UA"/>
        </w:rPr>
      </w:pPr>
      <w:r w:rsidRPr="00195D5E">
        <w:rPr>
          <w:rFonts w:ascii="Cambria" w:hAnsi="Cambria" w:cs="Cambria"/>
          <w:sz w:val="22"/>
          <w:szCs w:val="22"/>
          <w:lang w:val="uk-UA" w:eastAsia="uk-UA"/>
        </w:rPr>
        <w:t>Первісна</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переоцінена</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вартість</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повністю</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амортизованих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основних</w:t>
      </w:r>
      <w:r w:rsidRPr="00195D5E">
        <w:rPr>
          <w:rFonts w:ascii="Californian FB" w:hAnsi="Californian FB" w:cs="Calibri"/>
          <w:sz w:val="22"/>
          <w:szCs w:val="22"/>
          <w:lang w:val="uk-UA" w:eastAsia="uk-UA"/>
        </w:rPr>
        <w:t xml:space="preserve"> </w:t>
      </w:r>
      <w:r w:rsidRPr="00195D5E">
        <w:rPr>
          <w:rFonts w:ascii="Cambria" w:hAnsi="Cambria" w:cs="Cambria"/>
          <w:sz w:val="22"/>
          <w:szCs w:val="22"/>
          <w:lang w:val="uk-UA" w:eastAsia="uk-UA"/>
        </w:rPr>
        <w:t xml:space="preserve">засобів </w:t>
      </w:r>
      <w:r w:rsidR="00195D5E" w:rsidRPr="00195D5E">
        <w:rPr>
          <w:rFonts w:ascii="Cambria" w:hAnsi="Cambria" w:cs="Cambria"/>
          <w:sz w:val="22"/>
          <w:szCs w:val="22"/>
          <w:lang w:val="uk-UA" w:eastAsia="uk-UA"/>
        </w:rPr>
        <w:t>–</w:t>
      </w:r>
      <w:r w:rsidRPr="00195D5E">
        <w:rPr>
          <w:rFonts w:ascii="Cambria" w:hAnsi="Cambria" w:cs="Cambria"/>
          <w:sz w:val="22"/>
          <w:szCs w:val="22"/>
          <w:lang w:val="uk-UA" w:eastAsia="uk-UA"/>
        </w:rPr>
        <w:t xml:space="preserve"> </w:t>
      </w:r>
      <w:r w:rsidR="00195D5E" w:rsidRPr="00195D5E">
        <w:rPr>
          <w:rFonts w:ascii="Cambria" w:hAnsi="Cambria" w:cs="Cambria"/>
          <w:sz w:val="22"/>
          <w:szCs w:val="22"/>
          <w:lang w:val="uk-UA" w:eastAsia="uk-UA"/>
        </w:rPr>
        <w:t>переоцінка не відбувалась.</w:t>
      </w:r>
      <w:r w:rsidRPr="00195D5E">
        <w:rPr>
          <w:rFonts w:ascii="Cambria" w:hAnsi="Cambria" w:cs="Cambria"/>
          <w:sz w:val="22"/>
          <w:szCs w:val="22"/>
          <w:lang w:val="uk-UA" w:eastAsia="uk-UA"/>
        </w:rPr>
        <w:t xml:space="preserve"> </w:t>
      </w:r>
    </w:p>
    <w:p w:rsidR="00616C7B" w:rsidRDefault="00616C7B" w:rsidP="00D6403C">
      <w:pPr>
        <w:autoSpaceDE w:val="0"/>
        <w:autoSpaceDN w:val="0"/>
        <w:adjustRightInd w:val="0"/>
        <w:jc w:val="both"/>
        <w:rPr>
          <w:b/>
          <w:bCs/>
          <w:i/>
          <w:iCs/>
          <w:lang w:val="uk-UA" w:eastAsia="en-US"/>
        </w:rPr>
      </w:pPr>
    </w:p>
    <w:p w:rsidR="00D6403C" w:rsidRPr="00364F22" w:rsidRDefault="00D6403C" w:rsidP="00D6403C">
      <w:pPr>
        <w:autoSpaceDE w:val="0"/>
        <w:autoSpaceDN w:val="0"/>
        <w:adjustRightInd w:val="0"/>
        <w:jc w:val="both"/>
        <w:rPr>
          <w:b/>
          <w:bCs/>
          <w:i/>
          <w:iCs/>
          <w:lang w:val="uk-UA" w:eastAsia="en-US"/>
        </w:rPr>
      </w:pPr>
      <w:r w:rsidRPr="00364F22">
        <w:rPr>
          <w:b/>
          <w:bCs/>
          <w:i/>
          <w:iCs/>
          <w:lang w:val="uk-UA" w:eastAsia="en-US"/>
        </w:rPr>
        <w:t>Грошові кошти та їх еквіваленти.</w:t>
      </w:r>
    </w:p>
    <w:p w:rsidR="00D6403C" w:rsidRPr="00364F22" w:rsidRDefault="00D6403C" w:rsidP="005E41F3">
      <w:pPr>
        <w:autoSpaceDE w:val="0"/>
        <w:autoSpaceDN w:val="0"/>
        <w:adjustRightInd w:val="0"/>
        <w:jc w:val="both"/>
        <w:rPr>
          <w:bCs/>
          <w:iCs/>
          <w:lang w:val="uk-UA" w:eastAsia="en-US"/>
        </w:rPr>
      </w:pPr>
      <w:r w:rsidRPr="00364F22">
        <w:rPr>
          <w:bCs/>
          <w:iCs/>
          <w:lang w:val="uk-UA" w:eastAsia="en-US"/>
        </w:rPr>
        <w:t>Станом на 31 грудня грошові кошти та їх еквіваленти мали наступну структуру:</w:t>
      </w:r>
    </w:p>
    <w:p w:rsidR="00364F22" w:rsidRPr="00F66B25" w:rsidRDefault="00364F22" w:rsidP="005E41F3">
      <w:pPr>
        <w:autoSpaceDE w:val="0"/>
        <w:autoSpaceDN w:val="0"/>
        <w:adjustRightInd w:val="0"/>
        <w:jc w:val="right"/>
        <w:rPr>
          <w:bCs/>
          <w:iCs/>
          <w:sz w:val="22"/>
          <w:szCs w:val="22"/>
          <w:lang w:val="uk-UA" w:eastAsia="en-US"/>
        </w:rPr>
      </w:pPr>
      <w:r w:rsidRPr="00F66B25">
        <w:rPr>
          <w:bCs/>
          <w:iCs/>
          <w:sz w:val="22"/>
          <w:szCs w:val="22"/>
          <w:lang w:val="uk-UA" w:eastAsia="en-US"/>
        </w:rPr>
        <w:t>тис. грн.</w:t>
      </w:r>
    </w:p>
    <w:tbl>
      <w:tblPr>
        <w:tblW w:w="9521" w:type="dxa"/>
        <w:tblInd w:w="40" w:type="dxa"/>
        <w:tblLayout w:type="fixed"/>
        <w:tblCellMar>
          <w:left w:w="40" w:type="dxa"/>
          <w:right w:w="40" w:type="dxa"/>
        </w:tblCellMar>
        <w:tblLook w:val="0000" w:firstRow="0" w:lastRow="0" w:firstColumn="0" w:lastColumn="0" w:noHBand="0" w:noVBand="0"/>
      </w:tblPr>
      <w:tblGrid>
        <w:gridCol w:w="5505"/>
        <w:gridCol w:w="2083"/>
        <w:gridCol w:w="1933"/>
      </w:tblGrid>
      <w:tr w:rsidR="00D6403C" w:rsidRPr="00364F22" w:rsidTr="00616C7B">
        <w:trPr>
          <w:trHeight w:hRule="exact" w:val="312"/>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5E41F3">
            <w:pPr>
              <w:shd w:val="clear" w:color="auto" w:fill="FFFFFF"/>
              <w:rPr>
                <w:lang w:val="uk-UA"/>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30364A" w:rsidP="005E41F3">
            <w:pPr>
              <w:shd w:val="clear" w:color="auto" w:fill="FFFFFF"/>
              <w:ind w:left="110"/>
              <w:jc w:val="center"/>
              <w:rPr>
                <w:b/>
                <w:i/>
                <w:lang w:val="uk-UA"/>
              </w:rPr>
            </w:pPr>
            <w:r>
              <w:rPr>
                <w:b/>
                <w:bCs/>
                <w:i/>
                <w:lang w:val="uk-UA"/>
              </w:rPr>
              <w:t>31.12.</w:t>
            </w:r>
            <w:r w:rsidR="00D802A5">
              <w:rPr>
                <w:b/>
                <w:bCs/>
                <w:i/>
                <w:lang w:val="uk-UA"/>
              </w:rPr>
              <w:t>2020</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EB6FA9" w:rsidP="005E41F3">
            <w:pPr>
              <w:shd w:val="clear" w:color="auto" w:fill="FFFFFF"/>
              <w:jc w:val="center"/>
              <w:rPr>
                <w:b/>
                <w:i/>
                <w:lang w:val="uk-UA"/>
              </w:rPr>
            </w:pPr>
            <w:r>
              <w:rPr>
                <w:b/>
                <w:bCs/>
                <w:i/>
                <w:lang w:val="uk-UA"/>
              </w:rPr>
              <w:t>31.12.202</w:t>
            </w:r>
            <w:r w:rsidR="00D802A5">
              <w:rPr>
                <w:b/>
                <w:bCs/>
                <w:i/>
                <w:lang w:val="uk-UA"/>
              </w:rPr>
              <w:t>1</w:t>
            </w:r>
          </w:p>
        </w:tc>
      </w:tr>
      <w:tr w:rsidR="00EB6FA9" w:rsidRPr="00364F22" w:rsidTr="00616C7B">
        <w:trPr>
          <w:trHeight w:hRule="exact" w:val="288"/>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lang w:val="uk-UA"/>
              </w:rPr>
            </w:pPr>
            <w:r w:rsidRPr="00364F22">
              <w:rPr>
                <w:lang w:val="uk-UA"/>
              </w:rPr>
              <w:t>Каса, в національній валюті</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lang w:val="uk-UA"/>
              </w:rPr>
            </w:pPr>
            <w:r w:rsidRPr="00364F22">
              <w:rPr>
                <w:lang w:val="uk-UA"/>
              </w:rPr>
              <w:t>5</w:t>
            </w:r>
            <w:r w:rsidR="0030364A">
              <w:rPr>
                <w:lang w:val="uk-UA"/>
              </w:rPr>
              <w:t>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30364A" w:rsidP="005E41F3">
            <w:pPr>
              <w:jc w:val="center"/>
              <w:rPr>
                <w:lang w:val="uk-UA"/>
              </w:rPr>
            </w:pPr>
            <w:r>
              <w:rPr>
                <w:lang w:val="uk-UA"/>
              </w:rPr>
              <w:t>5</w:t>
            </w:r>
          </w:p>
        </w:tc>
      </w:tr>
      <w:tr w:rsidR="00EB6FA9" w:rsidRPr="00364F22" w:rsidTr="00616C7B">
        <w:trPr>
          <w:trHeight w:hRule="exact" w:val="280"/>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lang w:val="uk-UA"/>
              </w:rPr>
            </w:pPr>
            <w:r w:rsidRPr="00364F22">
              <w:rPr>
                <w:lang w:val="uk-UA"/>
              </w:rPr>
              <w:t xml:space="preserve">Поточні рахунки у банках </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30364A" w:rsidP="005E41F3">
            <w:pPr>
              <w:jc w:val="center"/>
              <w:rPr>
                <w:lang w:val="uk-UA"/>
              </w:rPr>
            </w:pPr>
            <w:r>
              <w:rPr>
                <w:lang w:val="uk-UA"/>
              </w:rPr>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30364A" w:rsidP="005E41F3">
            <w:pPr>
              <w:jc w:val="center"/>
              <w:rPr>
                <w:lang w:val="uk-UA"/>
              </w:rPr>
            </w:pPr>
            <w:r>
              <w:rPr>
                <w:lang w:val="uk-UA"/>
              </w:rPr>
              <w:t>0</w:t>
            </w:r>
          </w:p>
        </w:tc>
      </w:tr>
      <w:tr w:rsidR="00EB6FA9" w:rsidRPr="00364F22" w:rsidTr="00616C7B">
        <w:trPr>
          <w:trHeight w:hRule="exact" w:val="282"/>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b/>
                <w:lang w:val="uk-UA"/>
              </w:rPr>
            </w:pPr>
            <w:r w:rsidRPr="00364F22">
              <w:rPr>
                <w:b/>
                <w:lang w:val="uk-UA"/>
              </w:rPr>
              <w:t>Всього</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b/>
                <w:lang w:val="uk-UA"/>
              </w:rPr>
            </w:pPr>
            <w:r w:rsidRPr="00364F22">
              <w:rPr>
                <w:b/>
                <w:lang w:val="uk-UA"/>
              </w:rPr>
              <w:t>5</w:t>
            </w:r>
            <w:r w:rsidR="0030364A">
              <w:rPr>
                <w:b/>
                <w:lang w:val="uk-UA"/>
              </w:rPr>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30364A" w:rsidP="005E41F3">
            <w:pPr>
              <w:jc w:val="center"/>
              <w:rPr>
                <w:b/>
                <w:lang w:val="uk-UA"/>
              </w:rPr>
            </w:pPr>
            <w:r>
              <w:rPr>
                <w:b/>
                <w:lang w:val="uk-UA"/>
              </w:rPr>
              <w:t>5</w:t>
            </w:r>
          </w:p>
        </w:tc>
      </w:tr>
    </w:tbl>
    <w:p w:rsidR="00446E71" w:rsidRPr="00616C7B" w:rsidRDefault="00446E71" w:rsidP="00446E71">
      <w:pPr>
        <w:jc w:val="both"/>
      </w:pPr>
      <w:r w:rsidRPr="00616C7B">
        <w:t>Грошові кошти та їх еквіваленти не мають забезпечення.</w:t>
      </w:r>
    </w:p>
    <w:p w:rsidR="00446E71" w:rsidRPr="00616C7B" w:rsidRDefault="00446E71" w:rsidP="00446E71">
      <w:pPr>
        <w:pStyle w:val="ABC-paragrahinNotes"/>
        <w:spacing w:after="0"/>
        <w:rPr>
          <w:rFonts w:ascii="Times New Roman" w:hAnsi="Times New Roman"/>
          <w:sz w:val="24"/>
          <w:szCs w:val="24"/>
          <w:lang w:val="uk-UA" w:eastAsia="ar-SA"/>
        </w:rPr>
      </w:pPr>
      <w:r w:rsidRPr="00616C7B">
        <w:rPr>
          <w:rFonts w:ascii="Times New Roman" w:hAnsi="Times New Roman"/>
          <w:sz w:val="24"/>
          <w:szCs w:val="24"/>
          <w:lang w:val="uk-UA" w:eastAsia="ar-SA"/>
        </w:rPr>
        <w:t>Грошових коштів та їх еквівалентів з обмеженням до використання</w:t>
      </w:r>
      <w:r w:rsidR="00D802A5">
        <w:rPr>
          <w:rFonts w:ascii="Times New Roman" w:hAnsi="Times New Roman"/>
          <w:sz w:val="24"/>
          <w:szCs w:val="24"/>
          <w:lang w:val="uk-UA" w:eastAsia="ar-SA"/>
        </w:rPr>
        <w:t xml:space="preserve"> Товариство станом на 31.12.2021</w:t>
      </w:r>
      <w:r w:rsidRPr="00616C7B">
        <w:rPr>
          <w:rFonts w:ascii="Times New Roman" w:hAnsi="Times New Roman"/>
          <w:sz w:val="24"/>
          <w:szCs w:val="24"/>
          <w:lang w:val="uk-UA" w:eastAsia="ar-SA"/>
        </w:rPr>
        <w:t xml:space="preserve"> р. не має.</w:t>
      </w:r>
    </w:p>
    <w:p w:rsidR="00A1036C" w:rsidRPr="00616C7B" w:rsidRDefault="00A1036C" w:rsidP="00A1036C">
      <w:pPr>
        <w:autoSpaceDE w:val="0"/>
        <w:autoSpaceDN w:val="0"/>
        <w:adjustRightInd w:val="0"/>
        <w:spacing w:before="120" w:after="120"/>
        <w:jc w:val="both"/>
        <w:rPr>
          <w:b/>
          <w:bCs/>
          <w:i/>
          <w:iCs/>
          <w:lang w:val="uk-UA" w:eastAsia="en-US"/>
        </w:rPr>
      </w:pPr>
      <w:r w:rsidRPr="00616C7B">
        <w:rPr>
          <w:b/>
          <w:bCs/>
          <w:i/>
          <w:iCs/>
          <w:lang w:val="uk-UA" w:eastAsia="en-US"/>
        </w:rPr>
        <w:t>Дебіторська заборгованість.</w:t>
      </w:r>
    </w:p>
    <w:p w:rsidR="00A1036C" w:rsidRPr="00364F22" w:rsidRDefault="00A1036C" w:rsidP="00A1036C">
      <w:pPr>
        <w:autoSpaceDE w:val="0"/>
        <w:autoSpaceDN w:val="0"/>
        <w:adjustRightInd w:val="0"/>
        <w:jc w:val="both"/>
        <w:rPr>
          <w:bCs/>
          <w:iCs/>
          <w:lang w:val="uk-UA" w:eastAsia="en-US"/>
        </w:rPr>
      </w:pPr>
      <w:r w:rsidRPr="00616C7B">
        <w:rPr>
          <w:bCs/>
          <w:iCs/>
          <w:lang w:val="uk-UA" w:eastAsia="en-US"/>
        </w:rPr>
        <w:t>Станом на</w:t>
      </w:r>
      <w:r w:rsidRPr="00364F22">
        <w:rPr>
          <w:bCs/>
          <w:iCs/>
          <w:lang w:val="uk-UA" w:eastAsia="en-US"/>
        </w:rPr>
        <w:t xml:space="preserve"> 31 грудня поточна дебіторська заборгованість за основною діяльністю та інша дебіторська заборгованість мали наступну структуру:</w:t>
      </w:r>
    </w:p>
    <w:p w:rsidR="00A1036C" w:rsidRPr="00F66B25" w:rsidRDefault="00364F22" w:rsidP="00364F22">
      <w:pPr>
        <w:autoSpaceDE w:val="0"/>
        <w:autoSpaceDN w:val="0"/>
        <w:adjustRightInd w:val="0"/>
        <w:jc w:val="right"/>
        <w:rPr>
          <w:bCs/>
          <w:iCs/>
          <w:sz w:val="22"/>
          <w:szCs w:val="22"/>
          <w:lang w:val="uk-UA" w:eastAsia="en-US"/>
        </w:rPr>
      </w:pPr>
      <w:r w:rsidRPr="00F66B25">
        <w:rPr>
          <w:bCs/>
          <w:iCs/>
          <w:sz w:val="22"/>
          <w:szCs w:val="22"/>
          <w:lang w:val="uk-UA" w:eastAsia="en-US"/>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14"/>
        <w:gridCol w:w="1701"/>
        <w:gridCol w:w="1842"/>
      </w:tblGrid>
      <w:tr w:rsidR="00A1036C" w:rsidRPr="00364F22" w:rsidTr="00A1036C">
        <w:tc>
          <w:tcPr>
            <w:tcW w:w="3082"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Стаття звіту</w:t>
            </w:r>
          </w:p>
        </w:tc>
        <w:tc>
          <w:tcPr>
            <w:tcW w:w="3014"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Віднесено до статті</w:t>
            </w:r>
          </w:p>
        </w:tc>
        <w:tc>
          <w:tcPr>
            <w:tcW w:w="1701" w:type="dxa"/>
            <w:shd w:val="clear" w:color="auto" w:fill="auto"/>
          </w:tcPr>
          <w:p w:rsidR="00A1036C" w:rsidRPr="00364F22" w:rsidRDefault="0030364A" w:rsidP="00F83824">
            <w:pPr>
              <w:jc w:val="center"/>
              <w:rPr>
                <w:b/>
                <w:bCs/>
                <w:i/>
                <w:spacing w:val="-2"/>
                <w:sz w:val="22"/>
                <w:szCs w:val="22"/>
                <w:lang w:val="uk-UA"/>
              </w:rPr>
            </w:pPr>
            <w:r>
              <w:rPr>
                <w:b/>
                <w:bCs/>
                <w:i/>
                <w:spacing w:val="-2"/>
                <w:sz w:val="22"/>
                <w:szCs w:val="22"/>
                <w:lang w:val="uk-UA"/>
              </w:rPr>
              <w:t>На 31.12.2020</w:t>
            </w:r>
          </w:p>
        </w:tc>
        <w:tc>
          <w:tcPr>
            <w:tcW w:w="1842" w:type="dxa"/>
          </w:tcPr>
          <w:p w:rsidR="00A1036C" w:rsidRPr="00364F22" w:rsidRDefault="00481A05" w:rsidP="00F83824">
            <w:pPr>
              <w:jc w:val="center"/>
              <w:rPr>
                <w:b/>
                <w:bCs/>
                <w:i/>
                <w:spacing w:val="-2"/>
                <w:sz w:val="22"/>
                <w:szCs w:val="22"/>
                <w:lang w:val="uk-UA"/>
              </w:rPr>
            </w:pPr>
            <w:r>
              <w:rPr>
                <w:b/>
                <w:bCs/>
                <w:i/>
                <w:spacing w:val="-2"/>
                <w:sz w:val="22"/>
                <w:szCs w:val="22"/>
                <w:lang w:val="uk-UA"/>
              </w:rPr>
              <w:t>На 31.12.202</w:t>
            </w:r>
            <w:r w:rsidR="0030364A">
              <w:rPr>
                <w:b/>
                <w:bCs/>
                <w:i/>
                <w:spacing w:val="-2"/>
                <w:sz w:val="22"/>
                <w:szCs w:val="22"/>
                <w:lang w:val="uk-UA"/>
              </w:rPr>
              <w:t>1</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Інша поточна дебіторська заборгованість</w:t>
            </w:r>
          </w:p>
        </w:tc>
        <w:tc>
          <w:tcPr>
            <w:tcW w:w="3014" w:type="dxa"/>
            <w:shd w:val="clear" w:color="auto" w:fill="auto"/>
          </w:tcPr>
          <w:p w:rsidR="00A1036C" w:rsidRPr="00364F22" w:rsidRDefault="00A1036C" w:rsidP="00F83824">
            <w:pPr>
              <w:rPr>
                <w:bCs/>
                <w:spacing w:val="-2"/>
                <w:sz w:val="22"/>
                <w:szCs w:val="22"/>
                <w:lang w:val="uk-UA"/>
              </w:rPr>
            </w:pPr>
            <w:r w:rsidRPr="00364F22">
              <w:rPr>
                <w:sz w:val="22"/>
                <w:szCs w:val="22"/>
                <w:lang w:val="uk-UA"/>
              </w:rPr>
              <w:t xml:space="preserve">Надання кредитів фізичним особам </w:t>
            </w:r>
          </w:p>
        </w:tc>
        <w:tc>
          <w:tcPr>
            <w:tcW w:w="1701" w:type="dxa"/>
            <w:shd w:val="clear" w:color="auto" w:fill="auto"/>
            <w:vAlign w:val="center"/>
          </w:tcPr>
          <w:p w:rsidR="00A1036C" w:rsidRPr="00364F22" w:rsidRDefault="0030364A" w:rsidP="00F83824">
            <w:pPr>
              <w:autoSpaceDE w:val="0"/>
              <w:autoSpaceDN w:val="0"/>
              <w:adjustRightInd w:val="0"/>
              <w:jc w:val="center"/>
              <w:rPr>
                <w:sz w:val="22"/>
                <w:szCs w:val="22"/>
                <w:lang w:val="uk-UA"/>
              </w:rPr>
            </w:pPr>
            <w:r>
              <w:rPr>
                <w:sz w:val="22"/>
                <w:szCs w:val="22"/>
                <w:lang w:val="uk-UA"/>
              </w:rPr>
              <w:t>7</w:t>
            </w:r>
            <w:r w:rsidRPr="00364F22">
              <w:rPr>
                <w:sz w:val="22"/>
                <w:szCs w:val="22"/>
                <w:lang w:val="uk-UA"/>
              </w:rPr>
              <w:t xml:space="preserve"> </w:t>
            </w:r>
            <w:r>
              <w:rPr>
                <w:sz w:val="22"/>
                <w:szCs w:val="22"/>
                <w:lang w:val="uk-UA"/>
              </w:rPr>
              <w:t>241</w:t>
            </w:r>
          </w:p>
        </w:tc>
        <w:tc>
          <w:tcPr>
            <w:tcW w:w="1842" w:type="dxa"/>
            <w:vAlign w:val="center"/>
          </w:tcPr>
          <w:p w:rsidR="00A1036C" w:rsidRPr="00364F22" w:rsidRDefault="00496C96" w:rsidP="0030364A">
            <w:pPr>
              <w:autoSpaceDE w:val="0"/>
              <w:autoSpaceDN w:val="0"/>
              <w:adjustRightInd w:val="0"/>
              <w:jc w:val="center"/>
              <w:rPr>
                <w:sz w:val="22"/>
                <w:szCs w:val="22"/>
                <w:lang w:val="uk-UA"/>
              </w:rPr>
            </w:pPr>
            <w:r>
              <w:rPr>
                <w:sz w:val="22"/>
                <w:szCs w:val="22"/>
                <w:lang w:val="uk-UA"/>
              </w:rPr>
              <w:t>7</w:t>
            </w:r>
            <w:r w:rsidR="00A1036C" w:rsidRPr="00364F22">
              <w:rPr>
                <w:sz w:val="22"/>
                <w:szCs w:val="22"/>
                <w:lang w:val="uk-UA"/>
              </w:rPr>
              <w:t xml:space="preserve"> </w:t>
            </w:r>
            <w:r w:rsidR="0030364A">
              <w:rPr>
                <w:sz w:val="22"/>
                <w:szCs w:val="22"/>
                <w:lang w:val="uk-UA"/>
              </w:rPr>
              <w:t>408</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Дебіторська заборгованість  з нарахованих доходів</w:t>
            </w:r>
          </w:p>
        </w:tc>
        <w:tc>
          <w:tcPr>
            <w:tcW w:w="3014" w:type="dxa"/>
            <w:shd w:val="clear" w:color="auto" w:fill="auto"/>
          </w:tcPr>
          <w:p w:rsidR="00A1036C" w:rsidRPr="00364F22" w:rsidRDefault="00A1036C" w:rsidP="00F83824">
            <w:pPr>
              <w:rPr>
                <w:sz w:val="22"/>
                <w:szCs w:val="22"/>
                <w:lang w:val="uk-UA"/>
              </w:rPr>
            </w:pPr>
            <w:r w:rsidRPr="00364F22">
              <w:rPr>
                <w:sz w:val="22"/>
                <w:szCs w:val="22"/>
                <w:lang w:val="uk-UA"/>
              </w:rPr>
              <w:t>Відсотки по залишках кредитів</w:t>
            </w:r>
          </w:p>
        </w:tc>
        <w:tc>
          <w:tcPr>
            <w:tcW w:w="1701" w:type="dxa"/>
            <w:shd w:val="clear" w:color="auto" w:fill="auto"/>
            <w:vAlign w:val="center"/>
          </w:tcPr>
          <w:p w:rsidR="00A1036C" w:rsidRPr="00364F22" w:rsidRDefault="0030364A" w:rsidP="00F83824">
            <w:pPr>
              <w:autoSpaceDE w:val="0"/>
              <w:autoSpaceDN w:val="0"/>
              <w:adjustRightInd w:val="0"/>
              <w:jc w:val="center"/>
              <w:rPr>
                <w:sz w:val="22"/>
                <w:szCs w:val="22"/>
                <w:lang w:val="uk-UA"/>
              </w:rPr>
            </w:pPr>
            <w:r>
              <w:rPr>
                <w:sz w:val="22"/>
                <w:szCs w:val="22"/>
                <w:lang w:val="uk-UA"/>
              </w:rPr>
              <w:t>902</w:t>
            </w:r>
          </w:p>
        </w:tc>
        <w:tc>
          <w:tcPr>
            <w:tcW w:w="1842" w:type="dxa"/>
            <w:vAlign w:val="center"/>
          </w:tcPr>
          <w:p w:rsidR="00A1036C" w:rsidRPr="00364F22" w:rsidRDefault="0030364A" w:rsidP="00F83824">
            <w:pPr>
              <w:autoSpaceDE w:val="0"/>
              <w:autoSpaceDN w:val="0"/>
              <w:adjustRightInd w:val="0"/>
              <w:jc w:val="center"/>
              <w:rPr>
                <w:sz w:val="22"/>
                <w:szCs w:val="22"/>
                <w:lang w:val="uk-UA"/>
              </w:rPr>
            </w:pPr>
            <w:r>
              <w:rPr>
                <w:sz w:val="22"/>
                <w:szCs w:val="22"/>
                <w:lang w:val="uk-UA"/>
              </w:rPr>
              <w:t>1 696</w:t>
            </w:r>
          </w:p>
        </w:tc>
      </w:tr>
      <w:tr w:rsidR="00D6403C" w:rsidRPr="00364F22" w:rsidTr="00A1036C">
        <w:tc>
          <w:tcPr>
            <w:tcW w:w="3082" w:type="dxa"/>
            <w:shd w:val="clear" w:color="auto" w:fill="auto"/>
          </w:tcPr>
          <w:p w:rsidR="00D6403C" w:rsidRPr="00364F22" w:rsidRDefault="00D6403C" w:rsidP="00215D5D">
            <w:pPr>
              <w:rPr>
                <w:bCs/>
                <w:spacing w:val="-2"/>
                <w:sz w:val="22"/>
                <w:szCs w:val="22"/>
                <w:lang w:val="uk-UA"/>
              </w:rPr>
            </w:pPr>
            <w:r w:rsidRPr="00364F22">
              <w:rPr>
                <w:b/>
                <w:bCs/>
                <w:spacing w:val="-3"/>
                <w:sz w:val="22"/>
                <w:szCs w:val="22"/>
                <w:lang w:val="uk-UA"/>
              </w:rPr>
              <w:t xml:space="preserve">Всього дебіторська </w:t>
            </w:r>
            <w:r w:rsidRPr="00364F22">
              <w:rPr>
                <w:b/>
                <w:bCs/>
                <w:spacing w:val="-3"/>
                <w:sz w:val="22"/>
                <w:szCs w:val="22"/>
                <w:lang w:val="uk-UA"/>
              </w:rPr>
              <w:lastRenderedPageBreak/>
              <w:t>заборгованість</w:t>
            </w:r>
          </w:p>
        </w:tc>
        <w:tc>
          <w:tcPr>
            <w:tcW w:w="3014" w:type="dxa"/>
            <w:shd w:val="clear" w:color="auto" w:fill="auto"/>
          </w:tcPr>
          <w:p w:rsidR="00D6403C" w:rsidRPr="00364F22" w:rsidRDefault="00D6403C" w:rsidP="00215D5D">
            <w:pPr>
              <w:rPr>
                <w:sz w:val="22"/>
                <w:szCs w:val="22"/>
                <w:lang w:val="uk-UA"/>
              </w:rPr>
            </w:pPr>
          </w:p>
        </w:tc>
        <w:tc>
          <w:tcPr>
            <w:tcW w:w="1701" w:type="dxa"/>
            <w:shd w:val="clear" w:color="auto" w:fill="auto"/>
            <w:vAlign w:val="center"/>
          </w:tcPr>
          <w:p w:rsidR="00D6403C" w:rsidRPr="00364F22" w:rsidRDefault="0030364A" w:rsidP="0030364A">
            <w:pPr>
              <w:autoSpaceDE w:val="0"/>
              <w:autoSpaceDN w:val="0"/>
              <w:adjustRightInd w:val="0"/>
              <w:jc w:val="center"/>
              <w:rPr>
                <w:b/>
                <w:sz w:val="22"/>
                <w:szCs w:val="22"/>
                <w:lang w:val="uk-UA"/>
              </w:rPr>
            </w:pPr>
            <w:r>
              <w:rPr>
                <w:b/>
                <w:sz w:val="22"/>
                <w:szCs w:val="22"/>
                <w:lang w:val="uk-UA"/>
              </w:rPr>
              <w:t>8</w:t>
            </w:r>
            <w:r w:rsidR="004D30AF">
              <w:rPr>
                <w:b/>
                <w:sz w:val="22"/>
                <w:szCs w:val="22"/>
                <w:lang w:val="uk-UA"/>
              </w:rPr>
              <w:t xml:space="preserve"> </w:t>
            </w:r>
            <w:r>
              <w:rPr>
                <w:b/>
                <w:sz w:val="22"/>
                <w:szCs w:val="22"/>
                <w:lang w:val="uk-UA"/>
              </w:rPr>
              <w:t>143</w:t>
            </w:r>
          </w:p>
        </w:tc>
        <w:tc>
          <w:tcPr>
            <w:tcW w:w="1842" w:type="dxa"/>
            <w:vAlign w:val="center"/>
          </w:tcPr>
          <w:p w:rsidR="00D6403C" w:rsidRPr="00364F22" w:rsidRDefault="0030364A" w:rsidP="00215D5D">
            <w:pPr>
              <w:autoSpaceDE w:val="0"/>
              <w:autoSpaceDN w:val="0"/>
              <w:adjustRightInd w:val="0"/>
              <w:jc w:val="center"/>
              <w:rPr>
                <w:b/>
                <w:sz w:val="22"/>
                <w:szCs w:val="22"/>
                <w:lang w:val="uk-UA"/>
              </w:rPr>
            </w:pPr>
            <w:r>
              <w:rPr>
                <w:b/>
                <w:sz w:val="22"/>
                <w:szCs w:val="22"/>
                <w:lang w:val="uk-UA"/>
              </w:rPr>
              <w:t>9 104</w:t>
            </w:r>
          </w:p>
        </w:tc>
      </w:tr>
    </w:tbl>
    <w:p w:rsidR="00E221ED" w:rsidRDefault="00086486" w:rsidP="00215D5D">
      <w:pPr>
        <w:pStyle w:val="4"/>
        <w:keepNext w:val="0"/>
        <w:keepLines w:val="0"/>
        <w:spacing w:before="120" w:after="120"/>
        <w:ind w:firstLine="426"/>
        <w:jc w:val="both"/>
        <w:rPr>
          <w:rFonts w:ascii="Times New Roman" w:hAnsi="Times New Roman" w:cs="Times New Roman"/>
          <w:bCs/>
          <w:i w:val="0"/>
          <w:color w:val="auto"/>
          <w:spacing w:val="-2"/>
          <w:lang w:val="uk-UA"/>
        </w:rPr>
      </w:pPr>
      <w:r w:rsidRPr="00086486">
        <w:rPr>
          <w:rFonts w:ascii="Times New Roman" w:hAnsi="Times New Roman"/>
          <w:i w:val="0"/>
          <w:color w:val="000000" w:themeColor="text1"/>
          <w:lang w:val="uk-UA" w:eastAsia="ar-SA"/>
        </w:rPr>
        <w:lastRenderedPageBreak/>
        <w:t>Станом після набуття звітної дати 01.01.2022</w:t>
      </w:r>
      <w:r w:rsidR="00083C22">
        <w:rPr>
          <w:rFonts w:ascii="Times New Roman" w:hAnsi="Times New Roman"/>
          <w:i w:val="0"/>
          <w:color w:val="000000" w:themeColor="text1"/>
          <w:lang w:val="uk-UA" w:eastAsia="ar-SA"/>
        </w:rPr>
        <w:t xml:space="preserve">, станом на дату приміток </w:t>
      </w:r>
      <w:r>
        <w:rPr>
          <w:rFonts w:ascii="Times New Roman" w:hAnsi="Times New Roman"/>
          <w:i w:val="0"/>
          <w:color w:val="000000" w:themeColor="text1"/>
          <w:lang w:val="uk-UA" w:eastAsia="ar-SA"/>
        </w:rPr>
        <w:t xml:space="preserve">дебіторську заборгованість було </w:t>
      </w:r>
      <w:r w:rsidR="00083C22">
        <w:rPr>
          <w:rFonts w:ascii="Times New Roman" w:hAnsi="Times New Roman"/>
          <w:i w:val="0"/>
          <w:color w:val="000000" w:themeColor="text1"/>
          <w:lang w:val="uk-UA" w:eastAsia="ar-SA"/>
        </w:rPr>
        <w:t>погашено в сумі 986 тис. (дебіторська заборгованість з нарахованих процентів), та 38 тис. (</w:t>
      </w:r>
      <w:r w:rsidR="00E221ED">
        <w:rPr>
          <w:rFonts w:ascii="Times New Roman" w:hAnsi="Times New Roman" w:cs="Times New Roman"/>
          <w:bCs/>
          <w:i w:val="0"/>
          <w:color w:val="auto"/>
          <w:spacing w:val="-2"/>
          <w:lang w:val="uk-UA"/>
        </w:rPr>
        <w:t>д</w:t>
      </w:r>
      <w:r w:rsidR="00083C22" w:rsidRPr="00083C22">
        <w:rPr>
          <w:rFonts w:ascii="Times New Roman" w:hAnsi="Times New Roman" w:cs="Times New Roman"/>
          <w:bCs/>
          <w:i w:val="0"/>
          <w:color w:val="auto"/>
          <w:spacing w:val="-2"/>
          <w:lang w:val="uk-UA"/>
        </w:rPr>
        <w:t>ебіторська заборгованість  з нарахованих доходів</w:t>
      </w:r>
      <w:r w:rsidR="00083C22" w:rsidRPr="00083C22">
        <w:rPr>
          <w:rFonts w:ascii="Times New Roman" w:hAnsi="Times New Roman" w:cs="Times New Roman"/>
          <w:bCs/>
          <w:i w:val="0"/>
          <w:color w:val="auto"/>
          <w:spacing w:val="-2"/>
          <w:lang w:val="uk-UA"/>
        </w:rPr>
        <w:t>).</w:t>
      </w:r>
      <w:r w:rsidR="00E221ED">
        <w:rPr>
          <w:rFonts w:ascii="Times New Roman" w:hAnsi="Times New Roman" w:cs="Times New Roman"/>
          <w:bCs/>
          <w:i w:val="0"/>
          <w:color w:val="auto"/>
          <w:spacing w:val="-2"/>
          <w:lang w:val="uk-UA"/>
        </w:rPr>
        <w:t xml:space="preserve"> </w:t>
      </w:r>
    </w:p>
    <w:p w:rsidR="00A1036C" w:rsidRPr="00364F22" w:rsidRDefault="00A1036C" w:rsidP="00215D5D">
      <w:pPr>
        <w:pStyle w:val="4"/>
        <w:keepNext w:val="0"/>
        <w:keepLines w:val="0"/>
        <w:spacing w:before="120" w:after="120"/>
        <w:ind w:firstLine="426"/>
        <w:jc w:val="both"/>
        <w:rPr>
          <w:rFonts w:ascii="Times New Roman" w:hAnsi="Times New Roman"/>
          <w:i w:val="0"/>
          <w:color w:val="auto"/>
          <w:lang w:val="uk-UA"/>
        </w:rPr>
      </w:pPr>
      <w:r w:rsidRPr="00364F22">
        <w:rPr>
          <w:rFonts w:ascii="Times New Roman" w:hAnsi="Times New Roman"/>
          <w:i w:val="0"/>
          <w:color w:val="auto"/>
          <w:lang w:val="uk-UA" w:eastAsia="ar-SA"/>
        </w:rPr>
        <w:t xml:space="preserve">Поточна дебіторська заборгованість обліковується за чистою реалізаційною вартістю, визначеною як вартість дебіторської заборгованості за вирахуванням резерву неповернених кредитів (страхового резерву). </w:t>
      </w:r>
    </w:p>
    <w:p w:rsidR="00A1036C" w:rsidRPr="00446E71" w:rsidRDefault="00A1036C" w:rsidP="00215D5D">
      <w:pPr>
        <w:spacing w:before="120" w:after="120"/>
        <w:ind w:firstLine="426"/>
        <w:jc w:val="both"/>
        <w:rPr>
          <w:lang w:val="uk-UA"/>
        </w:rPr>
      </w:pPr>
      <w:r w:rsidRPr="00364F22">
        <w:rPr>
          <w:rStyle w:val="hps"/>
          <w:lang w:val="uk-UA"/>
        </w:rPr>
        <w:t>Керівництво вважає, що дебіторська заборгованість (за наданими кредитами) буде погашена шляхом отримання грошових коштів найближчим часом та балансова вартість такої дебіторської заборгованості приблизно дорівнює її справедливій вартості. Через те, що заборгованість по виданих кредитах повністю забезпечена заставою, керівництво відповідно до внутрішніх положень Товариства</w:t>
      </w:r>
      <w:r w:rsidRPr="00364F22">
        <w:rPr>
          <w:lang w:val="uk-UA"/>
        </w:rPr>
        <w:t xml:space="preserve">, що стосуються класифікації кредитних операцій та формування страхового резерву </w:t>
      </w:r>
      <w:r w:rsidRPr="00364F22">
        <w:rPr>
          <w:rStyle w:val="af9"/>
          <w:b w:val="0"/>
          <w:lang w:val="uk-UA"/>
        </w:rPr>
        <w:t xml:space="preserve">для відшкодування можливих втрат за всіма видами </w:t>
      </w:r>
      <w:r w:rsidRPr="00446E71">
        <w:rPr>
          <w:rStyle w:val="af9"/>
          <w:b w:val="0"/>
          <w:lang w:val="uk-UA"/>
        </w:rPr>
        <w:t>кредитних операцій, відносить цю заборгованість до</w:t>
      </w:r>
      <w:r w:rsidRPr="00446E71">
        <w:rPr>
          <w:lang w:val="uk-UA"/>
        </w:rPr>
        <w:t xml:space="preserve"> першої групи ризику та не створює страховий резерв.</w:t>
      </w:r>
    </w:p>
    <w:p w:rsidR="00A1036C" w:rsidRDefault="00A1036C" w:rsidP="00A1036C">
      <w:pPr>
        <w:spacing w:before="120" w:after="120"/>
        <w:ind w:firstLine="426"/>
        <w:jc w:val="both"/>
        <w:rPr>
          <w:lang w:val="uk-UA"/>
        </w:rPr>
      </w:pPr>
      <w:r w:rsidRPr="00446E71">
        <w:rPr>
          <w:lang w:val="uk-UA"/>
        </w:rPr>
        <w:t xml:space="preserve">У звітному періоді Товариством не було випадків визнання дебіторської заборгованості безнадійною. Простроченої дебіторської заборгованості немає. </w:t>
      </w:r>
    </w:p>
    <w:p w:rsidR="004F12B6" w:rsidRPr="00446E71" w:rsidRDefault="004F12B6" w:rsidP="00A1036C">
      <w:pPr>
        <w:spacing w:before="120" w:after="120"/>
        <w:ind w:firstLine="426"/>
        <w:jc w:val="both"/>
        <w:rPr>
          <w:lang w:val="uk-UA"/>
        </w:rPr>
      </w:pPr>
    </w:p>
    <w:p w:rsidR="00A1036C" w:rsidRPr="00364F22" w:rsidRDefault="00A1036C" w:rsidP="00A1036C">
      <w:pPr>
        <w:autoSpaceDE w:val="0"/>
        <w:autoSpaceDN w:val="0"/>
        <w:adjustRightInd w:val="0"/>
        <w:spacing w:before="120" w:after="120"/>
        <w:rPr>
          <w:b/>
          <w:bCs/>
          <w:i/>
          <w:iCs/>
          <w:lang w:val="uk-UA" w:eastAsia="en-US"/>
        </w:rPr>
      </w:pPr>
      <w:r w:rsidRPr="00446E71">
        <w:rPr>
          <w:b/>
          <w:bCs/>
          <w:i/>
          <w:iCs/>
          <w:lang w:val="uk-UA" w:eastAsia="en-US"/>
        </w:rPr>
        <w:t>Кредиторська заборгованість за основною діяльністю та інша кредиторська</w:t>
      </w:r>
      <w:r w:rsidRPr="00364F22">
        <w:rPr>
          <w:b/>
          <w:bCs/>
          <w:i/>
          <w:iCs/>
          <w:lang w:val="uk-UA" w:eastAsia="en-US"/>
        </w:rPr>
        <w:t xml:space="preserve"> заборгованість</w:t>
      </w:r>
    </w:p>
    <w:p w:rsidR="00A1036C" w:rsidRPr="00364F22" w:rsidRDefault="00A1036C" w:rsidP="00A1036C">
      <w:pPr>
        <w:autoSpaceDE w:val="0"/>
        <w:autoSpaceDN w:val="0"/>
        <w:adjustRightInd w:val="0"/>
        <w:jc w:val="both"/>
        <w:rPr>
          <w:bCs/>
          <w:iCs/>
          <w:lang w:val="uk-UA" w:eastAsia="en-US"/>
        </w:rPr>
      </w:pPr>
      <w:r w:rsidRPr="00364F22">
        <w:rPr>
          <w:bCs/>
          <w:iCs/>
          <w:lang w:val="uk-UA" w:eastAsia="en-US"/>
        </w:rPr>
        <w:t>Станом на 31 грудня кредиторська заборгованість за основною діяльністю та інша кредиторська заборгованість мали наступну структуру:</w:t>
      </w:r>
    </w:p>
    <w:p w:rsidR="00364F22" w:rsidRPr="00364F22" w:rsidRDefault="00364F22" w:rsidP="00364F22">
      <w:pPr>
        <w:autoSpaceDE w:val="0"/>
        <w:autoSpaceDN w:val="0"/>
        <w:adjustRightInd w:val="0"/>
        <w:jc w:val="right"/>
        <w:rPr>
          <w:bCs/>
          <w:iCs/>
          <w:lang w:val="uk-UA" w:eastAsia="en-US"/>
        </w:rPr>
      </w:pPr>
      <w:r w:rsidRPr="00364F22">
        <w:rPr>
          <w:bCs/>
          <w:iCs/>
          <w:lang w:val="uk-UA" w:eastAsia="en-US"/>
        </w:rPr>
        <w:t>тис. грн.</w:t>
      </w:r>
    </w:p>
    <w:tbl>
      <w:tblPr>
        <w:tblW w:w="9848" w:type="dxa"/>
        <w:tblInd w:w="40" w:type="dxa"/>
        <w:tblLayout w:type="fixed"/>
        <w:tblCellMar>
          <w:left w:w="40" w:type="dxa"/>
          <w:right w:w="40" w:type="dxa"/>
        </w:tblCellMar>
        <w:tblLook w:val="0000" w:firstRow="0" w:lastRow="0" w:firstColumn="0" w:lastColumn="0" w:noHBand="0" w:noVBand="0"/>
      </w:tblPr>
      <w:tblGrid>
        <w:gridCol w:w="5359"/>
        <w:gridCol w:w="2028"/>
        <w:gridCol w:w="2461"/>
      </w:tblGrid>
      <w:tr w:rsidR="00A1036C" w:rsidRPr="00364F22" w:rsidTr="00F66B25">
        <w:trPr>
          <w:trHeight w:hRule="exact" w:val="24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30364A" w:rsidP="00F83824">
            <w:pPr>
              <w:jc w:val="center"/>
              <w:rPr>
                <w:b/>
                <w:bCs/>
                <w:i/>
                <w:spacing w:val="-2"/>
                <w:sz w:val="22"/>
                <w:szCs w:val="22"/>
                <w:lang w:val="uk-UA"/>
              </w:rPr>
            </w:pPr>
            <w:r>
              <w:rPr>
                <w:b/>
                <w:bCs/>
                <w:i/>
                <w:spacing w:val="-2"/>
                <w:sz w:val="22"/>
                <w:szCs w:val="22"/>
                <w:lang w:val="uk-UA"/>
              </w:rPr>
              <w:t>На 31.12. 2020</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6F43A9" w:rsidP="00F83824">
            <w:pPr>
              <w:jc w:val="center"/>
              <w:rPr>
                <w:b/>
                <w:bCs/>
                <w:i/>
                <w:spacing w:val="-2"/>
                <w:sz w:val="22"/>
                <w:szCs w:val="22"/>
                <w:lang w:val="uk-UA"/>
              </w:rPr>
            </w:pPr>
            <w:r>
              <w:rPr>
                <w:b/>
                <w:bCs/>
                <w:i/>
                <w:spacing w:val="-2"/>
                <w:sz w:val="22"/>
                <w:szCs w:val="22"/>
                <w:lang w:val="uk-UA"/>
              </w:rPr>
              <w:t>На 31.12.202</w:t>
            </w:r>
            <w:r w:rsidR="0030364A">
              <w:rPr>
                <w:b/>
                <w:bCs/>
                <w:i/>
                <w:spacing w:val="-2"/>
                <w:sz w:val="22"/>
                <w:szCs w:val="22"/>
                <w:lang w:val="uk-UA"/>
              </w:rPr>
              <w:t>1</w:t>
            </w:r>
          </w:p>
        </w:tc>
      </w:tr>
      <w:tr w:rsidR="00A1036C" w:rsidRPr="00364F22" w:rsidTr="00F83824">
        <w:trPr>
          <w:trHeight w:hRule="exact" w:val="418"/>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sz w:val="22"/>
                <w:szCs w:val="22"/>
                <w:lang w:val="uk-UA"/>
              </w:rPr>
              <w:t>Розрахунки з бюджетом</w:t>
            </w:r>
          </w:p>
          <w:p w:rsidR="00A1036C" w:rsidRPr="00364F22" w:rsidRDefault="00A1036C" w:rsidP="00F83824">
            <w:pPr>
              <w:shd w:val="clear" w:color="auto" w:fill="FFFFFF"/>
              <w:rPr>
                <w:sz w:val="22"/>
                <w:szCs w:val="22"/>
                <w:lang w:val="uk-UA"/>
              </w:rPr>
            </w:pPr>
          </w:p>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30364A" w:rsidP="00F83824">
            <w:pPr>
              <w:shd w:val="clear" w:color="auto" w:fill="FFFFFF"/>
              <w:ind w:left="542" w:hanging="432"/>
              <w:jc w:val="center"/>
              <w:rPr>
                <w:sz w:val="22"/>
                <w:szCs w:val="22"/>
                <w:lang w:val="uk-UA"/>
              </w:rPr>
            </w:pPr>
            <w:r>
              <w:rPr>
                <w:sz w:val="22"/>
                <w:szCs w:val="22"/>
                <w:lang w:val="uk-UA"/>
              </w:rPr>
              <w:t>43</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30364A" w:rsidP="00F83824">
            <w:pPr>
              <w:shd w:val="clear" w:color="auto" w:fill="FFFFFF"/>
              <w:ind w:left="542" w:hanging="432"/>
              <w:jc w:val="center"/>
              <w:rPr>
                <w:sz w:val="22"/>
                <w:szCs w:val="22"/>
                <w:lang w:val="uk-UA"/>
              </w:rPr>
            </w:pPr>
            <w:r>
              <w:rPr>
                <w:sz w:val="22"/>
                <w:szCs w:val="22"/>
                <w:lang w:val="uk-UA"/>
              </w:rPr>
              <w:t>37</w:t>
            </w:r>
          </w:p>
        </w:tc>
      </w:tr>
      <w:tr w:rsidR="00A1036C" w:rsidRPr="00364F22" w:rsidTr="00F66B25">
        <w:trPr>
          <w:trHeight w:hRule="exact" w:val="43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Розрахунки з оплати праці</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6F43A9" w:rsidP="00F83824">
            <w:pPr>
              <w:jc w:val="center"/>
              <w:rPr>
                <w:sz w:val="22"/>
                <w:szCs w:val="22"/>
                <w:lang w:val="uk-UA"/>
              </w:rPr>
            </w:pPr>
            <w:r>
              <w:rPr>
                <w:sz w:val="22"/>
                <w:szCs w:val="22"/>
                <w:lang w:val="uk-UA"/>
              </w:rPr>
              <w:t>2</w:t>
            </w:r>
            <w:r w:rsidR="0030364A">
              <w:rPr>
                <w:sz w:val="22"/>
                <w:szCs w:val="22"/>
                <w:lang w:val="uk-UA"/>
              </w:rPr>
              <w:t>2</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9E2410" w:rsidP="00F83824">
            <w:pPr>
              <w:jc w:val="center"/>
              <w:rPr>
                <w:sz w:val="22"/>
                <w:szCs w:val="22"/>
                <w:lang w:val="uk-UA"/>
              </w:rPr>
            </w:pPr>
            <w:r>
              <w:rPr>
                <w:sz w:val="22"/>
                <w:szCs w:val="22"/>
                <w:lang w:val="uk-UA"/>
              </w:rPr>
              <w:t>199</w:t>
            </w:r>
          </w:p>
        </w:tc>
      </w:tr>
      <w:tr w:rsidR="00D6403C" w:rsidRPr="00364F22" w:rsidTr="00F66B25">
        <w:trPr>
          <w:trHeight w:hRule="exact" w:val="414"/>
        </w:trPr>
        <w:tc>
          <w:tcPr>
            <w:tcW w:w="5359" w:type="dxa"/>
            <w:tcBorders>
              <w:top w:val="single" w:sz="6" w:space="0" w:color="auto"/>
              <w:left w:val="single" w:sz="6" w:space="0" w:color="auto"/>
              <w:bottom w:val="single" w:sz="6" w:space="0" w:color="auto"/>
              <w:right w:val="nil"/>
            </w:tcBorders>
            <w:shd w:val="clear" w:color="auto" w:fill="FFFFFF"/>
          </w:tcPr>
          <w:p w:rsidR="00D6403C" w:rsidRPr="00364F22" w:rsidRDefault="00D6403C" w:rsidP="00F83824">
            <w:pPr>
              <w:shd w:val="clear" w:color="auto" w:fill="FFFFFF"/>
              <w:rPr>
                <w:bCs/>
                <w:spacing w:val="-3"/>
                <w:sz w:val="22"/>
                <w:szCs w:val="22"/>
                <w:lang w:val="uk-UA"/>
              </w:rPr>
            </w:pPr>
            <w:r w:rsidRPr="00364F22">
              <w:rPr>
                <w:bCs/>
                <w:spacing w:val="-3"/>
                <w:sz w:val="22"/>
                <w:szCs w:val="22"/>
                <w:lang w:val="uk-UA"/>
              </w:rPr>
              <w:t>Розрахунки зі страхування</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6F43A9" w:rsidP="00F83824">
            <w:pPr>
              <w:jc w:val="center"/>
              <w:rPr>
                <w:sz w:val="22"/>
                <w:szCs w:val="22"/>
                <w:lang w:val="uk-UA"/>
              </w:rPr>
            </w:pPr>
            <w:r>
              <w:rPr>
                <w:sz w:val="22"/>
                <w:szCs w:val="22"/>
                <w:lang w:val="uk-UA"/>
              </w:rPr>
              <w:t>14</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9E2410" w:rsidP="00F83824">
            <w:pPr>
              <w:jc w:val="center"/>
              <w:rPr>
                <w:sz w:val="22"/>
                <w:szCs w:val="22"/>
                <w:lang w:val="uk-UA"/>
              </w:rPr>
            </w:pPr>
            <w:r>
              <w:rPr>
                <w:sz w:val="22"/>
                <w:szCs w:val="22"/>
                <w:lang w:val="uk-UA"/>
              </w:rPr>
              <w:t>0</w:t>
            </w:r>
          </w:p>
        </w:tc>
      </w:tr>
      <w:tr w:rsidR="00A1036C" w:rsidRPr="00364F22" w:rsidTr="00F66B25">
        <w:trPr>
          <w:trHeight w:hRule="exact" w:val="40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 xml:space="preserve">Інші поточні зобов’язання </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30364A" w:rsidP="006F43A9">
            <w:pPr>
              <w:jc w:val="center"/>
              <w:rPr>
                <w:sz w:val="22"/>
                <w:szCs w:val="22"/>
                <w:lang w:val="uk-UA"/>
              </w:rPr>
            </w:pPr>
            <w:r>
              <w:rPr>
                <w:sz w:val="22"/>
                <w:szCs w:val="22"/>
                <w:lang w:val="uk-UA"/>
              </w:rPr>
              <w:t>6</w:t>
            </w:r>
            <w:r w:rsidRPr="00364F22">
              <w:rPr>
                <w:sz w:val="22"/>
                <w:szCs w:val="22"/>
                <w:lang w:val="uk-UA"/>
              </w:rPr>
              <w:t xml:space="preserve"> </w:t>
            </w:r>
            <w:r>
              <w:rPr>
                <w:sz w:val="22"/>
                <w:szCs w:val="22"/>
                <w:lang w:val="uk-UA"/>
              </w:rPr>
              <w:t>385</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6F43A9" w:rsidP="009E2410">
            <w:pPr>
              <w:jc w:val="center"/>
              <w:rPr>
                <w:sz w:val="22"/>
                <w:szCs w:val="22"/>
                <w:lang w:val="uk-UA"/>
              </w:rPr>
            </w:pPr>
            <w:r>
              <w:rPr>
                <w:sz w:val="22"/>
                <w:szCs w:val="22"/>
                <w:lang w:val="uk-UA"/>
              </w:rPr>
              <w:t>6</w:t>
            </w:r>
            <w:r w:rsidR="00D6403C" w:rsidRPr="00364F22">
              <w:rPr>
                <w:sz w:val="22"/>
                <w:szCs w:val="22"/>
                <w:lang w:val="uk-UA"/>
              </w:rPr>
              <w:t xml:space="preserve"> </w:t>
            </w:r>
            <w:r w:rsidR="009E2410">
              <w:rPr>
                <w:sz w:val="22"/>
                <w:szCs w:val="22"/>
                <w:lang w:val="uk-UA"/>
              </w:rPr>
              <w:t>917</w:t>
            </w:r>
          </w:p>
        </w:tc>
      </w:tr>
      <w:tr w:rsidR="00A1036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b/>
                <w:bCs/>
                <w:spacing w:val="-3"/>
                <w:sz w:val="22"/>
                <w:szCs w:val="22"/>
                <w:lang w:val="uk-UA"/>
              </w:rPr>
              <w:t>Всього кредиторська заборгованість</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30364A" w:rsidP="00F83824">
            <w:pPr>
              <w:jc w:val="center"/>
              <w:rPr>
                <w:b/>
                <w:bCs/>
                <w:sz w:val="22"/>
                <w:szCs w:val="22"/>
                <w:lang w:val="uk-UA"/>
              </w:rPr>
            </w:pPr>
            <w:r>
              <w:rPr>
                <w:b/>
                <w:bCs/>
                <w:sz w:val="22"/>
                <w:szCs w:val="22"/>
                <w:lang w:val="uk-UA"/>
              </w:rPr>
              <w:t>6 464</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9E2410" w:rsidP="009E2410">
            <w:pPr>
              <w:jc w:val="center"/>
              <w:rPr>
                <w:b/>
                <w:bCs/>
                <w:sz w:val="22"/>
                <w:szCs w:val="22"/>
                <w:lang w:val="uk-UA"/>
              </w:rPr>
            </w:pPr>
            <w:r>
              <w:rPr>
                <w:b/>
                <w:bCs/>
                <w:sz w:val="22"/>
                <w:szCs w:val="22"/>
                <w:lang w:val="uk-UA"/>
              </w:rPr>
              <w:t>7</w:t>
            </w:r>
            <w:r w:rsidR="00212C97">
              <w:rPr>
                <w:b/>
                <w:bCs/>
                <w:sz w:val="22"/>
                <w:szCs w:val="22"/>
                <w:lang w:val="uk-UA"/>
              </w:rPr>
              <w:t xml:space="preserve"> </w:t>
            </w:r>
            <w:r>
              <w:rPr>
                <w:b/>
                <w:bCs/>
                <w:sz w:val="22"/>
                <w:szCs w:val="22"/>
                <w:lang w:val="uk-UA"/>
              </w:rPr>
              <w:t>351</w:t>
            </w:r>
          </w:p>
        </w:tc>
      </w:tr>
    </w:tbl>
    <w:p w:rsidR="00E553C0" w:rsidRPr="005F1C6A" w:rsidRDefault="00583C96" w:rsidP="00E553C0">
      <w:pPr>
        <w:spacing w:before="120" w:after="120"/>
        <w:jc w:val="both"/>
        <w:textAlignment w:val="top"/>
        <w:rPr>
          <w:color w:val="FF0000"/>
          <w:lang w:val="uk-UA"/>
        </w:rPr>
      </w:pPr>
      <w:r>
        <w:rPr>
          <w:lang w:val="uk-UA"/>
        </w:rPr>
        <w:t>У 2021</w:t>
      </w:r>
      <w:r w:rsidR="00E553C0" w:rsidRPr="00F66B25">
        <w:rPr>
          <w:lang w:val="uk-UA"/>
        </w:rPr>
        <w:t xml:space="preserve"> році Товариство залучало кошти у вигляді безвідсоткової поворотної фінансової допомоги від учасника Товариства у сумі 2 </w:t>
      </w:r>
      <w:r w:rsidR="009E2410">
        <w:rPr>
          <w:lang w:val="uk-UA"/>
        </w:rPr>
        <w:t>550 тис. грн.</w:t>
      </w:r>
      <w:r w:rsidR="009C38E7">
        <w:rPr>
          <w:lang w:val="uk-UA"/>
        </w:rPr>
        <w:t xml:space="preserve"> За період 2021 року Товариством було погашено заборгованість у сумі</w:t>
      </w:r>
      <w:r w:rsidR="009E2410">
        <w:rPr>
          <w:lang w:val="uk-UA"/>
        </w:rPr>
        <w:t xml:space="preserve"> </w:t>
      </w:r>
      <w:r w:rsidR="009C38E7">
        <w:rPr>
          <w:lang w:val="uk-UA"/>
        </w:rPr>
        <w:t xml:space="preserve">2 018 тис. грн. </w:t>
      </w:r>
      <w:r w:rsidR="009E2410">
        <w:rPr>
          <w:lang w:val="uk-UA"/>
        </w:rPr>
        <w:t>Станом на 31.12.2021</w:t>
      </w:r>
      <w:r w:rsidR="00E553C0" w:rsidRPr="00F66B25">
        <w:rPr>
          <w:lang w:val="uk-UA"/>
        </w:rPr>
        <w:t xml:space="preserve"> року заборгованість Товариства за отриманою поворотною безвідсотковою фінансовою допомогою від у</w:t>
      </w:r>
      <w:r w:rsidR="004D726E" w:rsidRPr="00F66B25">
        <w:rPr>
          <w:lang w:val="uk-UA"/>
        </w:rPr>
        <w:t xml:space="preserve">часника Товариства складає </w:t>
      </w:r>
      <w:r w:rsidR="003A6270" w:rsidRPr="00F66B25">
        <w:rPr>
          <w:lang w:val="uk-UA"/>
        </w:rPr>
        <w:t>6</w:t>
      </w:r>
      <w:r w:rsidR="004D726E" w:rsidRPr="00F66B25">
        <w:rPr>
          <w:lang w:val="uk-UA"/>
        </w:rPr>
        <w:t xml:space="preserve"> </w:t>
      </w:r>
      <w:r w:rsidR="009E2410">
        <w:rPr>
          <w:lang w:val="uk-UA"/>
        </w:rPr>
        <w:t>917</w:t>
      </w:r>
      <w:r w:rsidR="00E553C0" w:rsidRPr="00F66B25">
        <w:rPr>
          <w:lang w:val="uk-UA"/>
        </w:rPr>
        <w:t xml:space="preserve"> тис. грн.</w:t>
      </w:r>
      <w:r w:rsidR="00E221ED">
        <w:rPr>
          <w:lang w:val="uk-UA"/>
        </w:rPr>
        <w:t xml:space="preserve"> Станом на дату приміток </w:t>
      </w:r>
      <w:r w:rsidR="00E221ED" w:rsidRPr="00F66B25">
        <w:rPr>
          <w:lang w:val="uk-UA"/>
        </w:rPr>
        <w:t>заборгованість Товариства за отриманою поворотною безвідсотковою фінансовою допомогою від учасника Товариства складає</w:t>
      </w:r>
      <w:r w:rsidR="00E221ED">
        <w:rPr>
          <w:lang w:val="uk-UA"/>
        </w:rPr>
        <w:t xml:space="preserve"> 5 667 тис. грн.</w:t>
      </w:r>
      <w:r w:rsidR="005F1C6A">
        <w:rPr>
          <w:lang w:val="uk-UA"/>
        </w:rPr>
        <w:t xml:space="preserve"> Термін погашення заборгованості становить 1 рік, згідно договору. Терміни погашення подовжані додатковою угодою №7 до 01.05.2023 року.</w:t>
      </w:r>
    </w:p>
    <w:p w:rsidR="00420155" w:rsidRPr="00F83824" w:rsidRDefault="00420155" w:rsidP="00F83824">
      <w:pPr>
        <w:pStyle w:val="2"/>
        <w:keepNext w:val="0"/>
        <w:tabs>
          <w:tab w:val="clear" w:pos="1440"/>
        </w:tabs>
        <w:suppressAutoHyphens w:val="0"/>
        <w:spacing w:before="120" w:after="120"/>
        <w:ind w:left="0"/>
        <w:jc w:val="both"/>
        <w:rPr>
          <w:i/>
          <w:lang w:val="uk-UA"/>
        </w:rPr>
      </w:pPr>
      <w:r w:rsidRPr="00F83824">
        <w:rPr>
          <w:i/>
          <w:lang w:val="uk-UA"/>
        </w:rPr>
        <w:t>Власний капітал</w:t>
      </w:r>
    </w:p>
    <w:p w:rsidR="00F83824" w:rsidRPr="00F83824" w:rsidRDefault="00F83824" w:rsidP="00F83824">
      <w:pPr>
        <w:pStyle w:val="a0"/>
        <w:jc w:val="right"/>
        <w:rPr>
          <w:lang w:val="uk-UA"/>
        </w:rPr>
      </w:pPr>
      <w:r w:rsidRPr="00F83824">
        <w:rPr>
          <w:lang w:val="uk-UA"/>
        </w:rPr>
        <w:t>тис. грн.</w:t>
      </w:r>
    </w:p>
    <w:tbl>
      <w:tblPr>
        <w:tblW w:w="9639" w:type="dxa"/>
        <w:tblInd w:w="5" w:type="dxa"/>
        <w:tblLayout w:type="fixed"/>
        <w:tblCellMar>
          <w:left w:w="0" w:type="dxa"/>
          <w:right w:w="0" w:type="dxa"/>
        </w:tblCellMar>
        <w:tblLook w:val="0000" w:firstRow="0" w:lastRow="0" w:firstColumn="0" w:lastColumn="0" w:noHBand="0" w:noVBand="0"/>
      </w:tblPr>
      <w:tblGrid>
        <w:gridCol w:w="4027"/>
        <w:gridCol w:w="3203"/>
        <w:gridCol w:w="2409"/>
      </w:tblGrid>
      <w:tr w:rsidR="00F83824" w:rsidTr="00B274B7">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Н</w:t>
            </w:r>
            <w:r w:rsidRPr="00F83824">
              <w:rPr>
                <w:b/>
                <w:spacing w:val="-1"/>
                <w:lang w:val="uk-UA"/>
              </w:rPr>
              <w:t>а</w:t>
            </w:r>
            <w:r w:rsidRPr="00F83824">
              <w:rPr>
                <w:b/>
                <w:spacing w:val="1"/>
                <w:lang w:val="uk-UA"/>
              </w:rPr>
              <w:t>й</w:t>
            </w:r>
            <w:r w:rsidRPr="00F83824">
              <w:rPr>
                <w:b/>
                <w:spacing w:val="-1"/>
                <w:lang w:val="uk-UA"/>
              </w:rPr>
              <w:t>ме</w:t>
            </w:r>
            <w:r w:rsidRPr="00F83824">
              <w:rPr>
                <w:b/>
                <w:spacing w:val="3"/>
                <w:lang w:val="uk-UA"/>
              </w:rPr>
              <w:t>н</w:t>
            </w:r>
            <w:r w:rsidRPr="00F83824">
              <w:rPr>
                <w:b/>
                <w:spacing w:val="-5"/>
                <w:lang w:val="uk-UA"/>
              </w:rPr>
              <w:t>у</w:t>
            </w:r>
            <w:r w:rsidRPr="00F83824">
              <w:rPr>
                <w:b/>
                <w:spacing w:val="2"/>
                <w:lang w:val="uk-UA"/>
              </w:rPr>
              <w:t>в</w:t>
            </w:r>
            <w:r w:rsidRPr="00F83824">
              <w:rPr>
                <w:b/>
                <w:spacing w:val="-1"/>
                <w:lang w:val="uk-UA"/>
              </w:rPr>
              <w:t>а</w:t>
            </w:r>
            <w:r w:rsidRPr="00F83824">
              <w:rPr>
                <w:b/>
                <w:spacing w:val="1"/>
                <w:lang w:val="uk-UA"/>
              </w:rPr>
              <w:t>нн</w:t>
            </w:r>
            <w:r w:rsidRPr="00F83824">
              <w:rPr>
                <w:b/>
                <w:lang w:val="uk-UA"/>
              </w:rPr>
              <w:t xml:space="preserve">я </w:t>
            </w:r>
            <w:r w:rsidRPr="00F83824">
              <w:rPr>
                <w:b/>
                <w:spacing w:val="-1"/>
                <w:lang w:val="uk-UA"/>
              </w:rPr>
              <w:t>с</w:t>
            </w:r>
            <w:r w:rsidRPr="00F83824">
              <w:rPr>
                <w:b/>
                <w:lang w:val="uk-UA"/>
              </w:rPr>
              <w:t>тат</w:t>
            </w:r>
            <w:r w:rsidRPr="00F83824">
              <w:rPr>
                <w:b/>
                <w:spacing w:val="1"/>
                <w:lang w:val="uk-UA"/>
              </w:rPr>
              <w:t>т</w:t>
            </w:r>
            <w:r w:rsidRPr="00F83824">
              <w:rPr>
                <w:b/>
                <w:lang w:val="uk-UA"/>
              </w:rPr>
              <w:t>і</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9E2410" w:rsidP="00F83824">
            <w:pPr>
              <w:autoSpaceDE w:val="0"/>
              <w:autoSpaceDN w:val="0"/>
              <w:adjustRightInd w:val="0"/>
              <w:ind w:right="10" w:hanging="6"/>
              <w:jc w:val="center"/>
              <w:rPr>
                <w:b/>
                <w:lang w:val="uk-UA"/>
              </w:rPr>
            </w:pPr>
            <w:r>
              <w:rPr>
                <w:b/>
                <w:lang w:val="uk-UA"/>
              </w:rPr>
              <w:t>31.12.2020</w:t>
            </w:r>
          </w:p>
        </w:tc>
        <w:tc>
          <w:tcPr>
            <w:tcW w:w="2409" w:type="dxa"/>
            <w:tcBorders>
              <w:top w:val="single" w:sz="4" w:space="0" w:color="000000"/>
              <w:left w:val="single" w:sz="4" w:space="0" w:color="000000"/>
              <w:bottom w:val="single" w:sz="4" w:space="0" w:color="000000"/>
              <w:right w:val="single" w:sz="4" w:space="0" w:color="000000"/>
            </w:tcBorders>
          </w:tcPr>
          <w:p w:rsidR="00F83824" w:rsidRPr="00F83824" w:rsidRDefault="00C1494B" w:rsidP="00F83824">
            <w:pPr>
              <w:autoSpaceDE w:val="0"/>
              <w:autoSpaceDN w:val="0"/>
              <w:adjustRightInd w:val="0"/>
              <w:ind w:right="10" w:hanging="6"/>
              <w:jc w:val="center"/>
              <w:rPr>
                <w:b/>
                <w:lang w:val="uk-UA"/>
              </w:rPr>
            </w:pPr>
            <w:r>
              <w:rPr>
                <w:b/>
                <w:lang w:val="uk-UA"/>
              </w:rPr>
              <w:t>31.12.202</w:t>
            </w:r>
            <w:r w:rsidR="009E2410">
              <w:rPr>
                <w:b/>
                <w:lang w:val="uk-UA"/>
              </w:rPr>
              <w:t>1</w:t>
            </w:r>
          </w:p>
        </w:tc>
      </w:tr>
      <w:tr w:rsidR="009E2410" w:rsidTr="00F66B25">
        <w:trPr>
          <w:trHeight w:hRule="exact" w:val="393"/>
        </w:trPr>
        <w:tc>
          <w:tcPr>
            <w:tcW w:w="4027"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tabs>
                <w:tab w:val="left" w:pos="2400"/>
              </w:tabs>
              <w:autoSpaceDE w:val="0"/>
              <w:autoSpaceDN w:val="0"/>
              <w:adjustRightInd w:val="0"/>
              <w:spacing w:line="269" w:lineRule="exact"/>
              <w:ind w:right="10" w:hanging="6"/>
              <w:rPr>
                <w:lang w:val="uk-UA"/>
              </w:rPr>
            </w:pPr>
            <w:r w:rsidRPr="00F83824">
              <w:rPr>
                <w:lang w:val="uk-UA"/>
              </w:rPr>
              <w:t>З</w:t>
            </w:r>
            <w:r w:rsidRPr="00F83824">
              <w:rPr>
                <w:spacing w:val="-1"/>
                <w:lang w:val="uk-UA"/>
              </w:rPr>
              <w:t>а</w:t>
            </w:r>
            <w:r w:rsidRPr="00F83824">
              <w:rPr>
                <w:lang w:val="uk-UA"/>
              </w:rPr>
              <w:t>р</w:t>
            </w:r>
            <w:r w:rsidRPr="00F83824">
              <w:rPr>
                <w:spacing w:val="-1"/>
                <w:lang w:val="uk-UA"/>
              </w:rPr>
              <w:t>е</w:t>
            </w:r>
            <w:r w:rsidRPr="00F83824">
              <w:rPr>
                <w:lang w:val="uk-UA"/>
              </w:rPr>
              <w:t>є</w:t>
            </w:r>
            <w:r w:rsidRPr="00F83824">
              <w:rPr>
                <w:spacing w:val="-1"/>
                <w:lang w:val="uk-UA"/>
              </w:rPr>
              <w:t>с</w:t>
            </w:r>
            <w:r w:rsidRPr="00F83824">
              <w:rPr>
                <w:lang w:val="uk-UA"/>
              </w:rPr>
              <w:t>тро</w:t>
            </w:r>
            <w:r w:rsidRPr="00F83824">
              <w:rPr>
                <w:spacing w:val="2"/>
                <w:lang w:val="uk-UA"/>
              </w:rPr>
              <w:t>в</w:t>
            </w:r>
            <w:r w:rsidRPr="00F83824">
              <w:rPr>
                <w:spacing w:val="-1"/>
                <w:lang w:val="uk-UA"/>
              </w:rPr>
              <w:t>а</w:t>
            </w:r>
            <w:r w:rsidRPr="00F83824">
              <w:rPr>
                <w:spacing w:val="1"/>
                <w:lang w:val="uk-UA"/>
              </w:rPr>
              <w:t>ни</w:t>
            </w:r>
            <w:r w:rsidRPr="00F83824">
              <w:rPr>
                <w:lang w:val="uk-UA"/>
              </w:rPr>
              <w:t>й (пайов</w:t>
            </w:r>
            <w:r w:rsidRPr="00F83824">
              <w:rPr>
                <w:spacing w:val="1"/>
                <w:lang w:val="uk-UA"/>
              </w:rPr>
              <w:t>ий</w:t>
            </w:r>
            <w:r w:rsidRPr="00F83824">
              <w:rPr>
                <w:lang w:val="uk-UA"/>
              </w:rPr>
              <w:t xml:space="preserve">) </w:t>
            </w:r>
            <w:r w:rsidRPr="00F83824">
              <w:rPr>
                <w:spacing w:val="1"/>
                <w:lang w:val="uk-UA"/>
              </w:rPr>
              <w:t>к</w:t>
            </w:r>
            <w:r w:rsidRPr="00F83824">
              <w:rPr>
                <w:spacing w:val="-1"/>
                <w:lang w:val="uk-UA"/>
              </w:rPr>
              <w:t>а</w:t>
            </w:r>
            <w:r w:rsidRPr="00F83824">
              <w:rPr>
                <w:spacing w:val="1"/>
                <w:lang w:val="uk-UA"/>
              </w:rPr>
              <w:t>пі</w:t>
            </w:r>
            <w:r w:rsidRPr="00F83824">
              <w:rPr>
                <w:lang w:val="uk-UA"/>
              </w:rPr>
              <w:t>тал</w:t>
            </w:r>
          </w:p>
        </w:tc>
        <w:tc>
          <w:tcPr>
            <w:tcW w:w="3203"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ind w:right="10" w:hanging="6"/>
              <w:jc w:val="center"/>
              <w:rPr>
                <w:lang w:val="uk-UA"/>
              </w:rPr>
            </w:pPr>
            <w:r>
              <w:rPr>
                <w:lang w:val="uk-UA"/>
              </w:rPr>
              <w:t>1 500</w:t>
            </w:r>
          </w:p>
        </w:tc>
        <w:tc>
          <w:tcPr>
            <w:tcW w:w="2409"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ind w:right="10" w:hanging="6"/>
              <w:jc w:val="center"/>
              <w:rPr>
                <w:lang w:val="uk-UA"/>
              </w:rPr>
            </w:pPr>
            <w:r>
              <w:rPr>
                <w:lang w:val="uk-UA"/>
              </w:rPr>
              <w:t>1 500</w:t>
            </w:r>
          </w:p>
        </w:tc>
      </w:tr>
      <w:tr w:rsidR="009E2410" w:rsidTr="00B274B7">
        <w:trPr>
          <w:trHeight w:hRule="exact" w:val="356"/>
        </w:trPr>
        <w:tc>
          <w:tcPr>
            <w:tcW w:w="4027"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autoSpaceDE w:val="0"/>
              <w:autoSpaceDN w:val="0"/>
              <w:adjustRightInd w:val="0"/>
              <w:spacing w:line="269" w:lineRule="exact"/>
              <w:ind w:right="10" w:hanging="6"/>
              <w:rPr>
                <w:lang w:val="uk-UA"/>
              </w:rPr>
            </w:pPr>
            <w:r w:rsidRPr="00F83824">
              <w:rPr>
                <w:lang w:val="uk-UA"/>
              </w:rPr>
              <w:t>Н</w:t>
            </w:r>
            <w:r w:rsidRPr="00F83824">
              <w:rPr>
                <w:spacing w:val="-1"/>
                <w:lang w:val="uk-UA"/>
              </w:rPr>
              <w:t>е</w:t>
            </w:r>
            <w:r w:rsidRPr="00F83824">
              <w:rPr>
                <w:lang w:val="uk-UA"/>
              </w:rPr>
              <w:t>о</w:t>
            </w:r>
            <w:r w:rsidRPr="00F83824">
              <w:rPr>
                <w:spacing w:val="1"/>
                <w:lang w:val="uk-UA"/>
              </w:rPr>
              <w:t>п</w:t>
            </w:r>
            <w:r w:rsidRPr="00F83824">
              <w:rPr>
                <w:lang w:val="uk-UA"/>
              </w:rPr>
              <w:t>л</w:t>
            </w:r>
            <w:r w:rsidRPr="00F83824">
              <w:rPr>
                <w:spacing w:val="-1"/>
                <w:lang w:val="uk-UA"/>
              </w:rPr>
              <w:t>аче</w:t>
            </w:r>
            <w:r w:rsidRPr="00F83824">
              <w:rPr>
                <w:spacing w:val="1"/>
                <w:lang w:val="uk-UA"/>
              </w:rPr>
              <w:t>ни</w:t>
            </w:r>
            <w:r w:rsidRPr="00F83824">
              <w:rPr>
                <w:lang w:val="uk-UA"/>
              </w:rPr>
              <w:t>й</w:t>
            </w:r>
            <w:r w:rsidRPr="00F83824">
              <w:rPr>
                <w:spacing w:val="1"/>
                <w:lang w:val="uk-UA"/>
              </w:rPr>
              <w:t xml:space="preserve"> 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spacing w:before="30"/>
              <w:ind w:right="10" w:hanging="6"/>
              <w:jc w:val="center"/>
              <w:rPr>
                <w:lang w:val="uk-UA"/>
              </w:rPr>
            </w:pPr>
            <w:r>
              <w:rPr>
                <w:lang w:val="uk-UA"/>
              </w:rPr>
              <w:t>(412)</w:t>
            </w:r>
          </w:p>
        </w:tc>
        <w:tc>
          <w:tcPr>
            <w:tcW w:w="2409"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spacing w:before="30"/>
              <w:ind w:right="10" w:hanging="6"/>
              <w:jc w:val="center"/>
              <w:rPr>
                <w:lang w:val="uk-UA"/>
              </w:rPr>
            </w:pPr>
            <w:r>
              <w:rPr>
                <w:lang w:val="uk-UA"/>
              </w:rPr>
              <w:t>(412)</w:t>
            </w:r>
          </w:p>
        </w:tc>
      </w:tr>
      <w:tr w:rsidR="009E2410" w:rsidTr="00B274B7">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tabs>
                <w:tab w:val="left" w:pos="2460"/>
              </w:tabs>
              <w:autoSpaceDE w:val="0"/>
              <w:autoSpaceDN w:val="0"/>
              <w:adjustRightInd w:val="0"/>
              <w:spacing w:line="269" w:lineRule="exact"/>
              <w:ind w:right="10" w:hanging="6"/>
              <w:rPr>
                <w:lang w:val="uk-UA"/>
              </w:rPr>
            </w:pPr>
            <w:r w:rsidRPr="00F83824">
              <w:rPr>
                <w:lang w:val="uk-UA"/>
              </w:rPr>
              <w:lastRenderedPageBreak/>
              <w:t>Н</w:t>
            </w:r>
            <w:r w:rsidRPr="00F83824">
              <w:rPr>
                <w:spacing w:val="-1"/>
                <w:lang w:val="uk-UA"/>
              </w:rPr>
              <w:t>е</w:t>
            </w:r>
            <w:r w:rsidRPr="00F83824">
              <w:rPr>
                <w:lang w:val="uk-UA"/>
              </w:rPr>
              <w:t>ро</w:t>
            </w:r>
            <w:r w:rsidRPr="00F83824">
              <w:rPr>
                <w:spacing w:val="1"/>
                <w:lang w:val="uk-UA"/>
              </w:rPr>
              <w:t>зп</w:t>
            </w:r>
            <w:r w:rsidRPr="00F83824">
              <w:rPr>
                <w:lang w:val="uk-UA"/>
              </w:rPr>
              <w:t>оді</w:t>
            </w:r>
            <w:r w:rsidRPr="00F83824">
              <w:rPr>
                <w:spacing w:val="1"/>
                <w:lang w:val="uk-UA"/>
              </w:rPr>
              <w:t>л</w:t>
            </w:r>
            <w:r w:rsidRPr="00F83824">
              <w:rPr>
                <w:spacing w:val="-1"/>
                <w:lang w:val="uk-UA"/>
              </w:rPr>
              <w:t>е</w:t>
            </w:r>
            <w:r w:rsidRPr="00F83824">
              <w:rPr>
                <w:spacing w:val="1"/>
                <w:lang w:val="uk-UA"/>
              </w:rPr>
              <w:t>н</w:t>
            </w:r>
            <w:r w:rsidRPr="00F83824">
              <w:rPr>
                <w:spacing w:val="-1"/>
                <w:lang w:val="uk-UA"/>
              </w:rPr>
              <w:t>и</w:t>
            </w:r>
            <w:r w:rsidRPr="00F83824">
              <w:rPr>
                <w:lang w:val="uk-UA"/>
              </w:rPr>
              <w:t xml:space="preserve">й </w:t>
            </w:r>
            <w:r w:rsidRPr="00F83824">
              <w:rPr>
                <w:spacing w:val="1"/>
                <w:lang w:val="uk-UA"/>
              </w:rPr>
              <w:t>п</w:t>
            </w:r>
            <w:r w:rsidRPr="00F83824">
              <w:rPr>
                <w:lang w:val="uk-UA"/>
              </w:rPr>
              <w:t>р</w:t>
            </w:r>
            <w:r w:rsidRPr="00F83824">
              <w:rPr>
                <w:spacing w:val="1"/>
                <w:lang w:val="uk-UA"/>
              </w:rPr>
              <w:t>и</w:t>
            </w:r>
            <w:r w:rsidRPr="00F83824">
              <w:rPr>
                <w:spacing w:val="2"/>
                <w:lang w:val="uk-UA"/>
              </w:rPr>
              <w:t>б</w:t>
            </w:r>
            <w:r w:rsidRPr="00F83824">
              <w:rPr>
                <w:spacing w:val="-7"/>
                <w:lang w:val="uk-UA"/>
              </w:rPr>
              <w:t>у</w:t>
            </w:r>
            <w:r w:rsidRPr="00F83824">
              <w:rPr>
                <w:lang w:val="uk-UA"/>
              </w:rPr>
              <w:t>ток (непо</w:t>
            </w:r>
            <w:r w:rsidRPr="00F83824">
              <w:rPr>
                <w:spacing w:val="1"/>
                <w:lang w:val="uk-UA"/>
              </w:rPr>
              <w:t>к</w:t>
            </w:r>
            <w:r w:rsidRPr="00F83824">
              <w:rPr>
                <w:lang w:val="uk-UA"/>
              </w:rPr>
              <w:t>р</w:t>
            </w:r>
            <w:r w:rsidRPr="00F83824">
              <w:rPr>
                <w:spacing w:val="1"/>
                <w:lang w:val="uk-UA"/>
              </w:rPr>
              <w:t>и</w:t>
            </w:r>
            <w:r w:rsidRPr="00F83824">
              <w:rPr>
                <w:spacing w:val="-2"/>
                <w:lang w:val="uk-UA"/>
              </w:rPr>
              <w:t>т</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з</w:t>
            </w:r>
            <w:r w:rsidRPr="00F83824">
              <w:rPr>
                <w:lang w:val="uk-UA"/>
              </w:rPr>
              <w:t>б</w:t>
            </w:r>
            <w:r w:rsidRPr="00F83824">
              <w:rPr>
                <w:spacing w:val="-1"/>
                <w:lang w:val="uk-UA"/>
              </w:rPr>
              <w:t>и</w:t>
            </w:r>
            <w:r w:rsidRPr="00F83824">
              <w:rPr>
                <w:lang w:val="uk-UA"/>
              </w:rPr>
              <w:t>то</w:t>
            </w:r>
            <w:r w:rsidRPr="00F83824">
              <w:rPr>
                <w:spacing w:val="1"/>
                <w:lang w:val="uk-UA"/>
              </w:rPr>
              <w:t>к</w:t>
            </w:r>
            <w:r w:rsidRPr="00F83824">
              <w:rPr>
                <w:lang w:val="uk-UA"/>
              </w:rPr>
              <w:t>)</w:t>
            </w:r>
          </w:p>
        </w:tc>
        <w:tc>
          <w:tcPr>
            <w:tcW w:w="3203"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ind w:right="10" w:hanging="6"/>
              <w:jc w:val="center"/>
              <w:rPr>
                <w:lang w:val="uk-UA"/>
              </w:rPr>
            </w:pPr>
            <w:r>
              <w:rPr>
                <w:lang w:val="uk-UA"/>
              </w:rPr>
              <w:t>674</w:t>
            </w:r>
          </w:p>
        </w:tc>
        <w:tc>
          <w:tcPr>
            <w:tcW w:w="2409"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ind w:right="10" w:hanging="6"/>
              <w:jc w:val="center"/>
              <w:rPr>
                <w:lang w:val="uk-UA"/>
              </w:rPr>
            </w:pPr>
            <w:r>
              <w:rPr>
                <w:lang w:val="uk-UA"/>
              </w:rPr>
              <w:t>860</w:t>
            </w:r>
          </w:p>
        </w:tc>
      </w:tr>
      <w:tr w:rsidR="009E2410" w:rsidTr="00B274B7">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autoSpaceDE w:val="0"/>
              <w:autoSpaceDN w:val="0"/>
              <w:adjustRightInd w:val="0"/>
              <w:spacing w:line="269" w:lineRule="exact"/>
              <w:ind w:right="10" w:hanging="6"/>
              <w:rPr>
                <w:lang w:val="uk-UA"/>
              </w:rPr>
            </w:pPr>
            <w:r w:rsidRPr="00F83824">
              <w:rPr>
                <w:spacing w:val="1"/>
                <w:lang w:val="uk-UA"/>
              </w:rPr>
              <w:t>Р</w:t>
            </w:r>
            <w:r w:rsidRPr="00F83824">
              <w:rPr>
                <w:spacing w:val="-1"/>
                <w:lang w:val="uk-UA"/>
              </w:rPr>
              <w:t>е</w:t>
            </w:r>
            <w:r w:rsidRPr="00F83824">
              <w:rPr>
                <w:spacing w:val="1"/>
                <w:lang w:val="uk-UA"/>
              </w:rPr>
              <w:t>з</w:t>
            </w:r>
            <w:r w:rsidRPr="00F83824">
              <w:rPr>
                <w:spacing w:val="-1"/>
                <w:lang w:val="uk-UA"/>
              </w:rPr>
              <w:t>е</w:t>
            </w:r>
            <w:r w:rsidRPr="00F83824">
              <w:rPr>
                <w:lang w:val="uk-UA"/>
              </w:rPr>
              <w:t>рвн</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spacing w:before="29"/>
              <w:ind w:right="10" w:hanging="6"/>
              <w:jc w:val="center"/>
              <w:rPr>
                <w:lang w:val="uk-UA"/>
              </w:rPr>
            </w:pPr>
            <w:r>
              <w:rPr>
                <w:lang w:val="uk-UA"/>
              </w:rPr>
              <w:t>38</w:t>
            </w:r>
          </w:p>
        </w:tc>
        <w:tc>
          <w:tcPr>
            <w:tcW w:w="2409" w:type="dxa"/>
            <w:tcBorders>
              <w:top w:val="single" w:sz="4" w:space="0" w:color="000000"/>
              <w:left w:val="single" w:sz="4" w:space="0" w:color="000000"/>
              <w:bottom w:val="single" w:sz="4" w:space="0" w:color="000000"/>
              <w:right w:val="single" w:sz="4" w:space="0" w:color="000000"/>
            </w:tcBorders>
          </w:tcPr>
          <w:p w:rsidR="009E2410" w:rsidRPr="00B12671" w:rsidRDefault="009E2410" w:rsidP="009E2410">
            <w:pPr>
              <w:autoSpaceDE w:val="0"/>
              <w:autoSpaceDN w:val="0"/>
              <w:adjustRightInd w:val="0"/>
              <w:spacing w:before="29"/>
              <w:ind w:right="10" w:hanging="6"/>
              <w:jc w:val="center"/>
              <w:rPr>
                <w:lang w:val="uk-UA"/>
              </w:rPr>
            </w:pPr>
            <w:r>
              <w:rPr>
                <w:lang w:val="uk-UA"/>
              </w:rPr>
              <w:t>48</w:t>
            </w:r>
          </w:p>
        </w:tc>
      </w:tr>
      <w:tr w:rsidR="009E2410" w:rsidTr="00B274B7">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autoSpaceDE w:val="0"/>
              <w:autoSpaceDN w:val="0"/>
              <w:adjustRightInd w:val="0"/>
              <w:spacing w:line="269" w:lineRule="exact"/>
              <w:ind w:right="10" w:hanging="6"/>
              <w:rPr>
                <w:b/>
                <w:lang w:val="uk-UA"/>
              </w:rPr>
            </w:pPr>
            <w:r w:rsidRPr="00F83824">
              <w:rPr>
                <w:b/>
                <w:spacing w:val="-2"/>
                <w:lang w:val="uk-UA"/>
              </w:rPr>
              <w:t>Всього в</w:t>
            </w:r>
            <w:r w:rsidRPr="00F83824">
              <w:rPr>
                <w:b/>
                <w:lang w:val="uk-UA"/>
              </w:rPr>
              <w:t>л</w:t>
            </w:r>
            <w:r w:rsidRPr="00F83824">
              <w:rPr>
                <w:b/>
                <w:spacing w:val="-1"/>
                <w:lang w:val="uk-UA"/>
              </w:rPr>
              <w:t>ас</w:t>
            </w:r>
            <w:r w:rsidRPr="00F83824">
              <w:rPr>
                <w:b/>
                <w:spacing w:val="1"/>
                <w:lang w:val="uk-UA"/>
              </w:rPr>
              <w:t>ни</w:t>
            </w:r>
            <w:r w:rsidRPr="00F83824">
              <w:rPr>
                <w:b/>
                <w:lang w:val="uk-UA"/>
              </w:rPr>
              <w:t>й</w:t>
            </w:r>
            <w:r w:rsidRPr="00F83824">
              <w:rPr>
                <w:b/>
                <w:spacing w:val="1"/>
                <w:lang w:val="uk-UA"/>
              </w:rPr>
              <w:t xml:space="preserve"> к</w:t>
            </w:r>
            <w:r w:rsidRPr="00F83824">
              <w:rPr>
                <w:b/>
                <w:spacing w:val="-1"/>
                <w:lang w:val="uk-UA"/>
              </w:rPr>
              <w:t>а</w:t>
            </w:r>
            <w:r w:rsidRPr="00F83824">
              <w:rPr>
                <w:b/>
                <w:spacing w:val="1"/>
                <w:lang w:val="uk-UA"/>
              </w:rPr>
              <w:t>п</w:t>
            </w:r>
            <w:r w:rsidRPr="00F83824">
              <w:rPr>
                <w:b/>
                <w:lang w:val="uk-UA"/>
              </w:rPr>
              <w:t>і</w:t>
            </w:r>
            <w:r w:rsidRPr="00F83824">
              <w:rPr>
                <w:b/>
                <w:spacing w:val="1"/>
                <w:lang w:val="uk-UA"/>
              </w:rPr>
              <w:t>т</w:t>
            </w:r>
            <w:r w:rsidRPr="00F83824">
              <w:rPr>
                <w:b/>
                <w:spacing w:val="-1"/>
                <w:lang w:val="uk-UA"/>
              </w:rPr>
              <w:t>а</w:t>
            </w:r>
            <w:r w:rsidRPr="00F83824">
              <w:rPr>
                <w:b/>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autoSpaceDE w:val="0"/>
              <w:autoSpaceDN w:val="0"/>
              <w:adjustRightInd w:val="0"/>
              <w:spacing w:before="29"/>
              <w:ind w:right="10" w:hanging="6"/>
              <w:jc w:val="center"/>
              <w:rPr>
                <w:b/>
                <w:lang w:val="uk-UA"/>
              </w:rPr>
            </w:pPr>
            <w:r>
              <w:rPr>
                <w:b/>
                <w:lang w:val="uk-UA"/>
              </w:rPr>
              <w:t>1 800</w:t>
            </w:r>
          </w:p>
        </w:tc>
        <w:tc>
          <w:tcPr>
            <w:tcW w:w="2409" w:type="dxa"/>
            <w:tcBorders>
              <w:top w:val="single" w:sz="4" w:space="0" w:color="000000"/>
              <w:left w:val="single" w:sz="4" w:space="0" w:color="000000"/>
              <w:bottom w:val="single" w:sz="4" w:space="0" w:color="000000"/>
              <w:right w:val="single" w:sz="4" w:space="0" w:color="000000"/>
            </w:tcBorders>
          </w:tcPr>
          <w:p w:rsidR="009E2410" w:rsidRPr="00F83824" w:rsidRDefault="009E2410" w:rsidP="009E2410">
            <w:pPr>
              <w:autoSpaceDE w:val="0"/>
              <w:autoSpaceDN w:val="0"/>
              <w:adjustRightInd w:val="0"/>
              <w:spacing w:before="29"/>
              <w:ind w:right="10" w:hanging="6"/>
              <w:jc w:val="center"/>
              <w:rPr>
                <w:b/>
                <w:lang w:val="uk-UA"/>
              </w:rPr>
            </w:pPr>
            <w:r>
              <w:rPr>
                <w:b/>
                <w:lang w:val="uk-UA"/>
              </w:rPr>
              <w:t>1 996</w:t>
            </w:r>
          </w:p>
        </w:tc>
      </w:tr>
    </w:tbl>
    <w:p w:rsidR="00B274B7" w:rsidRPr="005F1C6A" w:rsidRDefault="009E2410" w:rsidP="00B2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Pr>
          <w:noProof/>
          <w:lang w:val="uk-UA"/>
        </w:rPr>
        <w:t>Станом на 31.12.2021</w:t>
      </w:r>
      <w:r w:rsidR="00B274B7" w:rsidRPr="00B274B7">
        <w:rPr>
          <w:noProof/>
          <w:lang w:val="uk-UA"/>
        </w:rPr>
        <w:t xml:space="preserve"> р. розмір і структура власного капіталу відповідає вимогам, установленим п. 2.1.11. ст. 2 </w:t>
      </w:r>
      <w:bookmarkStart w:id="1" w:name="OLE_LINK6"/>
      <w:r w:rsidR="00B274B7" w:rsidRPr="00B274B7">
        <w:rPr>
          <w:noProof/>
          <w:lang w:val="uk-UA"/>
        </w:rPr>
        <w:t xml:space="preserve">Положення </w:t>
      </w:r>
      <w:bookmarkEnd w:id="1"/>
      <w:r w:rsidR="00B274B7" w:rsidRPr="00B274B7">
        <w:rPr>
          <w:bCs/>
          <w:color w:val="000000"/>
          <w:shd w:val="clear" w:color="auto" w:fill="FFFFFF"/>
          <w:lang w:val="uk-UA"/>
        </w:rPr>
        <w:t>про порядок надання фінансових послуг ломбардами, затвердженого р</w:t>
      </w:r>
      <w:r w:rsidR="00B274B7" w:rsidRPr="00B274B7">
        <w:rPr>
          <w:lang w:val="uk-UA"/>
        </w:rPr>
        <w:t>озпорядження Державної комісії з регулювання ринків фінансових послуг України від 26.04.2005 р. № 3981 та зареєстрованого в Міністерстві юстиції України 14.05.2005 р. за  № 565/10845 із змінами і доповненнями.</w:t>
      </w:r>
      <w:r w:rsidR="00315346">
        <w:rPr>
          <w:lang w:val="uk-UA"/>
        </w:rPr>
        <w:t xml:space="preserve"> </w:t>
      </w:r>
      <w:r w:rsidR="00315346" w:rsidRPr="005F1C6A">
        <w:rPr>
          <w:lang w:val="uk-UA"/>
        </w:rPr>
        <w:t xml:space="preserve">Строк погашення неоплаченого капіталу </w:t>
      </w:r>
      <w:r w:rsidR="005F1C6A" w:rsidRPr="005F1C6A">
        <w:rPr>
          <w:lang w:val="uk-UA"/>
        </w:rPr>
        <w:t>до 31.12.2023 року.</w:t>
      </w:r>
      <w:r w:rsidR="00315346" w:rsidRPr="005F1C6A">
        <w:rPr>
          <w:lang w:val="uk-UA"/>
        </w:rPr>
        <w:t xml:space="preserve"> </w:t>
      </w:r>
    </w:p>
    <w:p w:rsidR="001B2214" w:rsidRPr="00BD7CFA" w:rsidRDefault="001B2214" w:rsidP="001B2214">
      <w:pPr>
        <w:spacing w:before="120" w:after="120"/>
        <w:rPr>
          <w:b/>
          <w:lang w:val="uk-UA"/>
        </w:rPr>
      </w:pPr>
      <w:r w:rsidRPr="00BD7CFA">
        <w:rPr>
          <w:b/>
          <w:lang w:val="uk-UA"/>
        </w:rPr>
        <w:t xml:space="preserve">7.2. </w:t>
      </w:r>
      <w:r w:rsidRPr="00603C20">
        <w:rPr>
          <w:b/>
          <w:bCs/>
          <w:iCs/>
          <w:color w:val="000000"/>
          <w:lang w:val="uk-UA" w:eastAsia="uk-UA"/>
        </w:rPr>
        <w:t xml:space="preserve">Розкриття інформації, що підтверджує статті, подані у </w:t>
      </w:r>
      <w:r w:rsidRPr="00BD7CFA">
        <w:rPr>
          <w:b/>
          <w:lang w:val="uk-UA"/>
        </w:rPr>
        <w:t>Звіт про фінансові результати (Звіт про сукупний дохід)</w:t>
      </w:r>
    </w:p>
    <w:p w:rsidR="001B2214" w:rsidRPr="001B2214" w:rsidRDefault="001B2214" w:rsidP="001B2214">
      <w:pPr>
        <w:spacing w:before="120" w:after="120"/>
        <w:rPr>
          <w:bCs/>
          <w:u w:val="single"/>
          <w:lang w:val="uk-UA"/>
        </w:rPr>
      </w:pPr>
      <w:r w:rsidRPr="001B2214">
        <w:rPr>
          <w:bCs/>
          <w:u w:val="single"/>
          <w:lang w:val="uk-UA"/>
        </w:rPr>
        <w:t>Доходи від основної діяльності</w:t>
      </w:r>
    </w:p>
    <w:p w:rsidR="001B2214" w:rsidRDefault="001B2214" w:rsidP="001B2214">
      <w:pPr>
        <w:jc w:val="right"/>
        <w:rPr>
          <w:lang w:val="uk-UA"/>
        </w:rPr>
      </w:pPr>
      <w:r w:rsidRPr="008B7479">
        <w:rPr>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843"/>
        <w:gridCol w:w="1701"/>
      </w:tblGrid>
      <w:tr w:rsidR="001B2214" w:rsidRPr="00387D3A" w:rsidTr="00380E58">
        <w:trPr>
          <w:trHeight w:val="348"/>
        </w:trPr>
        <w:tc>
          <w:tcPr>
            <w:tcW w:w="6345" w:type="dxa"/>
          </w:tcPr>
          <w:p w:rsidR="001B2214" w:rsidRPr="00387D3A" w:rsidRDefault="001B2214" w:rsidP="00D81E9C">
            <w:pPr>
              <w:jc w:val="both"/>
              <w:rPr>
                <w:i/>
                <w:lang w:val="uk-UA" w:eastAsia="en-US"/>
              </w:rPr>
            </w:pPr>
          </w:p>
        </w:tc>
        <w:tc>
          <w:tcPr>
            <w:tcW w:w="1843" w:type="dxa"/>
          </w:tcPr>
          <w:p w:rsidR="001B2214" w:rsidRPr="00387D3A" w:rsidRDefault="009E2410" w:rsidP="00D81E9C">
            <w:pPr>
              <w:jc w:val="center"/>
              <w:rPr>
                <w:lang w:val="uk-UA" w:eastAsia="en-US"/>
              </w:rPr>
            </w:pPr>
            <w:r>
              <w:rPr>
                <w:lang w:val="uk-UA" w:eastAsia="en-US"/>
              </w:rPr>
              <w:t>2020</w:t>
            </w:r>
            <w:r w:rsidR="001B2214" w:rsidRPr="00387D3A">
              <w:rPr>
                <w:lang w:val="uk-UA" w:eastAsia="en-US"/>
              </w:rPr>
              <w:t xml:space="preserve"> рік</w:t>
            </w:r>
          </w:p>
        </w:tc>
        <w:tc>
          <w:tcPr>
            <w:tcW w:w="1701" w:type="dxa"/>
          </w:tcPr>
          <w:p w:rsidR="001B2214" w:rsidRPr="00387D3A" w:rsidRDefault="00850566" w:rsidP="00D81E9C">
            <w:pPr>
              <w:jc w:val="center"/>
              <w:rPr>
                <w:lang w:val="uk-UA" w:eastAsia="en-US"/>
              </w:rPr>
            </w:pPr>
            <w:r>
              <w:rPr>
                <w:lang w:val="uk-UA" w:eastAsia="en-US"/>
              </w:rPr>
              <w:t>20</w:t>
            </w:r>
            <w:r w:rsidR="009E2410">
              <w:rPr>
                <w:lang w:val="uk-UA" w:eastAsia="en-US"/>
              </w:rPr>
              <w:t>21</w:t>
            </w:r>
            <w:r w:rsidR="001B2214" w:rsidRPr="00387D3A">
              <w:rPr>
                <w:lang w:val="uk-UA" w:eastAsia="en-US"/>
              </w:rPr>
              <w:t xml:space="preserve"> рік</w:t>
            </w:r>
          </w:p>
        </w:tc>
      </w:tr>
      <w:tr w:rsidR="009E2410" w:rsidRPr="00387D3A" w:rsidTr="00380E58">
        <w:trPr>
          <w:trHeight w:val="348"/>
        </w:trPr>
        <w:tc>
          <w:tcPr>
            <w:tcW w:w="6345" w:type="dxa"/>
          </w:tcPr>
          <w:p w:rsidR="009E2410" w:rsidRPr="00387D3A" w:rsidRDefault="009E2410" w:rsidP="009E2410">
            <w:pPr>
              <w:jc w:val="both"/>
              <w:rPr>
                <w:lang w:val="uk-UA" w:eastAsia="en-US"/>
              </w:rPr>
            </w:pPr>
            <w:r w:rsidRPr="00387D3A">
              <w:rPr>
                <w:lang w:val="uk-UA" w:eastAsia="en-US"/>
              </w:rPr>
              <w:t>Реалізація послуг (відсотки по кредиту)</w:t>
            </w:r>
          </w:p>
        </w:tc>
        <w:tc>
          <w:tcPr>
            <w:tcW w:w="1843" w:type="dxa"/>
          </w:tcPr>
          <w:p w:rsidR="009E2410" w:rsidRPr="00387D3A" w:rsidRDefault="009E2410" w:rsidP="009E2410">
            <w:pPr>
              <w:jc w:val="center"/>
              <w:rPr>
                <w:lang w:val="uk-UA" w:eastAsia="en-US"/>
              </w:rPr>
            </w:pPr>
            <w:r>
              <w:rPr>
                <w:lang w:val="uk-UA" w:eastAsia="en-US"/>
              </w:rPr>
              <w:t>3 354</w:t>
            </w:r>
          </w:p>
        </w:tc>
        <w:tc>
          <w:tcPr>
            <w:tcW w:w="1701" w:type="dxa"/>
          </w:tcPr>
          <w:p w:rsidR="009E2410" w:rsidRPr="00387D3A" w:rsidRDefault="009E2410" w:rsidP="009E2410">
            <w:pPr>
              <w:jc w:val="center"/>
              <w:rPr>
                <w:lang w:val="uk-UA" w:eastAsia="en-US"/>
              </w:rPr>
            </w:pPr>
            <w:r>
              <w:rPr>
                <w:lang w:val="uk-UA" w:eastAsia="en-US"/>
              </w:rPr>
              <w:t>4 333</w:t>
            </w:r>
          </w:p>
        </w:tc>
      </w:tr>
      <w:tr w:rsidR="009E2410" w:rsidRPr="00387D3A" w:rsidTr="00380E58">
        <w:trPr>
          <w:trHeight w:val="348"/>
        </w:trPr>
        <w:tc>
          <w:tcPr>
            <w:tcW w:w="6345" w:type="dxa"/>
          </w:tcPr>
          <w:p w:rsidR="009E2410" w:rsidRPr="001C7D9F" w:rsidRDefault="009E2410" w:rsidP="009E2410">
            <w:pPr>
              <w:jc w:val="both"/>
              <w:rPr>
                <w:lang w:val="uk-UA" w:eastAsia="en-US"/>
              </w:rPr>
            </w:pPr>
            <w:r>
              <w:rPr>
                <w:lang w:val="uk-UA" w:eastAsia="en-US"/>
              </w:rPr>
              <w:t>Інші операційні доходи</w:t>
            </w:r>
          </w:p>
        </w:tc>
        <w:tc>
          <w:tcPr>
            <w:tcW w:w="1843" w:type="dxa"/>
          </w:tcPr>
          <w:p w:rsidR="009E2410" w:rsidRPr="00387D3A" w:rsidRDefault="009E2410" w:rsidP="009E2410">
            <w:pPr>
              <w:jc w:val="center"/>
              <w:rPr>
                <w:lang w:val="uk-UA" w:eastAsia="en-US"/>
              </w:rPr>
            </w:pPr>
            <w:r>
              <w:rPr>
                <w:lang w:val="uk-UA" w:eastAsia="en-US"/>
              </w:rPr>
              <w:t>0</w:t>
            </w:r>
          </w:p>
        </w:tc>
        <w:tc>
          <w:tcPr>
            <w:tcW w:w="1701" w:type="dxa"/>
          </w:tcPr>
          <w:p w:rsidR="009E2410" w:rsidRPr="00387D3A" w:rsidRDefault="009E2410" w:rsidP="009E2410">
            <w:pPr>
              <w:jc w:val="center"/>
              <w:rPr>
                <w:lang w:val="uk-UA" w:eastAsia="en-US"/>
              </w:rPr>
            </w:pPr>
            <w:r>
              <w:rPr>
                <w:lang w:val="uk-UA" w:eastAsia="en-US"/>
              </w:rPr>
              <w:t>0</w:t>
            </w:r>
          </w:p>
        </w:tc>
      </w:tr>
      <w:tr w:rsidR="009E2410" w:rsidRPr="00387D3A" w:rsidTr="00380E58">
        <w:trPr>
          <w:trHeight w:val="348"/>
        </w:trPr>
        <w:tc>
          <w:tcPr>
            <w:tcW w:w="6345" w:type="dxa"/>
          </w:tcPr>
          <w:p w:rsidR="009E2410" w:rsidRPr="00050B6A" w:rsidRDefault="009E2410" w:rsidP="009E2410">
            <w:pPr>
              <w:jc w:val="both"/>
              <w:rPr>
                <w:b/>
                <w:lang w:val="uk-UA" w:eastAsia="en-US"/>
              </w:rPr>
            </w:pPr>
            <w:r>
              <w:rPr>
                <w:b/>
                <w:lang w:val="uk-UA" w:eastAsia="en-US"/>
              </w:rPr>
              <w:t>Всього доходи</w:t>
            </w:r>
          </w:p>
        </w:tc>
        <w:tc>
          <w:tcPr>
            <w:tcW w:w="1843" w:type="dxa"/>
          </w:tcPr>
          <w:p w:rsidR="009E2410" w:rsidRPr="00050B6A" w:rsidRDefault="009E2410" w:rsidP="009E2410">
            <w:pPr>
              <w:jc w:val="center"/>
              <w:rPr>
                <w:b/>
                <w:lang w:val="uk-UA" w:eastAsia="en-US"/>
              </w:rPr>
            </w:pPr>
            <w:r>
              <w:rPr>
                <w:b/>
                <w:lang w:val="uk-UA" w:eastAsia="en-US"/>
              </w:rPr>
              <w:t>3 354</w:t>
            </w:r>
          </w:p>
        </w:tc>
        <w:tc>
          <w:tcPr>
            <w:tcW w:w="1701" w:type="dxa"/>
          </w:tcPr>
          <w:p w:rsidR="009E2410" w:rsidRPr="00050B6A" w:rsidRDefault="009E2410" w:rsidP="009E2410">
            <w:pPr>
              <w:jc w:val="center"/>
              <w:rPr>
                <w:b/>
                <w:lang w:val="uk-UA" w:eastAsia="en-US"/>
              </w:rPr>
            </w:pPr>
            <w:r>
              <w:rPr>
                <w:b/>
                <w:lang w:val="uk-UA" w:eastAsia="en-US"/>
              </w:rPr>
              <w:t>4 333</w:t>
            </w:r>
          </w:p>
        </w:tc>
      </w:tr>
    </w:tbl>
    <w:p w:rsidR="001B2214" w:rsidRDefault="001B2214" w:rsidP="001B2214">
      <w:pPr>
        <w:jc w:val="right"/>
        <w:rPr>
          <w:lang w:val="uk-UA"/>
        </w:rPr>
      </w:pPr>
    </w:p>
    <w:p w:rsidR="001B2214" w:rsidRPr="001C7D9F" w:rsidRDefault="001B2214" w:rsidP="001B2214">
      <w:pPr>
        <w:jc w:val="both"/>
        <w:rPr>
          <w:bCs/>
          <w:iCs/>
          <w:u w:val="single"/>
          <w:lang w:val="uk-UA" w:eastAsia="en-US"/>
        </w:rPr>
      </w:pPr>
      <w:r w:rsidRPr="001C7D9F">
        <w:rPr>
          <w:bCs/>
          <w:iCs/>
          <w:u w:val="single"/>
          <w:lang w:val="uk-UA" w:eastAsia="en-US"/>
        </w:rPr>
        <w:t>Адміністративні витрати</w:t>
      </w:r>
    </w:p>
    <w:p w:rsidR="001B2214"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701"/>
      </w:tblGrid>
      <w:tr w:rsidR="000C670C" w:rsidRPr="00912C8C" w:rsidTr="000C670C">
        <w:tc>
          <w:tcPr>
            <w:tcW w:w="6345" w:type="dxa"/>
          </w:tcPr>
          <w:p w:rsidR="000C670C" w:rsidRPr="00912C8C" w:rsidRDefault="000C670C" w:rsidP="000C670C">
            <w:pPr>
              <w:jc w:val="both"/>
              <w:rPr>
                <w:i/>
                <w:sz w:val="22"/>
                <w:szCs w:val="22"/>
                <w:lang w:val="uk-UA" w:eastAsia="en-US"/>
              </w:rPr>
            </w:pPr>
          </w:p>
        </w:tc>
        <w:tc>
          <w:tcPr>
            <w:tcW w:w="1701" w:type="dxa"/>
          </w:tcPr>
          <w:p w:rsidR="000C670C" w:rsidRPr="00912C8C" w:rsidRDefault="009E2410" w:rsidP="000C670C">
            <w:pPr>
              <w:jc w:val="center"/>
              <w:rPr>
                <w:lang w:val="uk-UA" w:eastAsia="en-US"/>
              </w:rPr>
            </w:pPr>
            <w:r>
              <w:rPr>
                <w:lang w:val="uk-UA" w:eastAsia="en-US"/>
              </w:rPr>
              <w:t>2020</w:t>
            </w:r>
            <w:r w:rsidR="000C670C" w:rsidRPr="00912C8C">
              <w:rPr>
                <w:lang w:val="uk-UA" w:eastAsia="en-US"/>
              </w:rPr>
              <w:t xml:space="preserve"> рік</w:t>
            </w:r>
          </w:p>
        </w:tc>
        <w:tc>
          <w:tcPr>
            <w:tcW w:w="1701" w:type="dxa"/>
          </w:tcPr>
          <w:p w:rsidR="000C670C" w:rsidRPr="00912C8C" w:rsidRDefault="009E2410" w:rsidP="000C670C">
            <w:pPr>
              <w:jc w:val="center"/>
              <w:rPr>
                <w:lang w:val="uk-UA" w:eastAsia="en-US"/>
              </w:rPr>
            </w:pPr>
            <w:r>
              <w:rPr>
                <w:lang w:val="uk-UA" w:eastAsia="en-US"/>
              </w:rPr>
              <w:t>2021</w:t>
            </w:r>
            <w:r w:rsidR="000C670C" w:rsidRPr="00912C8C">
              <w:rPr>
                <w:lang w:val="uk-UA" w:eastAsia="en-US"/>
              </w:rPr>
              <w:t xml:space="preserve"> рік</w:t>
            </w:r>
          </w:p>
        </w:tc>
      </w:tr>
      <w:tr w:rsidR="009E2410" w:rsidRPr="00682EFB" w:rsidTr="000C670C">
        <w:tc>
          <w:tcPr>
            <w:tcW w:w="6345" w:type="dxa"/>
          </w:tcPr>
          <w:p w:rsidR="009E2410" w:rsidRPr="00912C8C" w:rsidRDefault="009E2410" w:rsidP="009E2410">
            <w:pPr>
              <w:jc w:val="both"/>
              <w:rPr>
                <w:lang w:val="uk-UA" w:eastAsia="en-US"/>
              </w:rPr>
            </w:pPr>
            <w:r>
              <w:rPr>
                <w:lang w:val="uk-UA" w:eastAsia="en-US"/>
              </w:rPr>
              <w:t>Матеріальні витрати</w:t>
            </w:r>
          </w:p>
        </w:tc>
        <w:tc>
          <w:tcPr>
            <w:tcW w:w="1701" w:type="dxa"/>
          </w:tcPr>
          <w:p w:rsidR="009E2410" w:rsidRPr="00912C8C" w:rsidRDefault="009E2410" w:rsidP="009E2410">
            <w:pPr>
              <w:jc w:val="center"/>
              <w:rPr>
                <w:lang w:val="uk-UA" w:eastAsia="en-US"/>
              </w:rPr>
            </w:pPr>
            <w:r>
              <w:rPr>
                <w:lang w:val="uk-UA" w:eastAsia="en-US"/>
              </w:rPr>
              <w:t>300</w:t>
            </w:r>
          </w:p>
        </w:tc>
        <w:tc>
          <w:tcPr>
            <w:tcW w:w="1701" w:type="dxa"/>
          </w:tcPr>
          <w:p w:rsidR="009E2410" w:rsidRPr="00912C8C" w:rsidRDefault="002A2140" w:rsidP="009E2410">
            <w:pPr>
              <w:jc w:val="center"/>
              <w:rPr>
                <w:lang w:val="uk-UA" w:eastAsia="en-US"/>
              </w:rPr>
            </w:pPr>
            <w:r>
              <w:rPr>
                <w:lang w:val="uk-UA" w:eastAsia="en-US"/>
              </w:rPr>
              <w:t>97</w:t>
            </w:r>
          </w:p>
        </w:tc>
      </w:tr>
      <w:tr w:rsidR="009E2410" w:rsidRPr="00682EFB" w:rsidTr="000C670C">
        <w:tc>
          <w:tcPr>
            <w:tcW w:w="6345" w:type="dxa"/>
          </w:tcPr>
          <w:p w:rsidR="009E2410" w:rsidRPr="00912C8C" w:rsidRDefault="009E2410" w:rsidP="009E2410">
            <w:pPr>
              <w:jc w:val="both"/>
              <w:rPr>
                <w:lang w:val="uk-UA" w:eastAsia="en-US"/>
              </w:rPr>
            </w:pPr>
            <w:r>
              <w:rPr>
                <w:lang w:val="uk-UA" w:eastAsia="en-US"/>
              </w:rPr>
              <w:t>Витрати на оплату праці</w:t>
            </w:r>
          </w:p>
        </w:tc>
        <w:tc>
          <w:tcPr>
            <w:tcW w:w="1701" w:type="dxa"/>
          </w:tcPr>
          <w:p w:rsidR="009E2410" w:rsidRPr="00912C8C" w:rsidRDefault="009E2410" w:rsidP="009E2410">
            <w:pPr>
              <w:jc w:val="center"/>
              <w:rPr>
                <w:lang w:val="uk-UA" w:eastAsia="en-US"/>
              </w:rPr>
            </w:pPr>
            <w:r>
              <w:rPr>
                <w:lang w:val="uk-UA" w:eastAsia="en-US"/>
              </w:rPr>
              <w:t>1  339</w:t>
            </w:r>
          </w:p>
        </w:tc>
        <w:tc>
          <w:tcPr>
            <w:tcW w:w="1701" w:type="dxa"/>
          </w:tcPr>
          <w:p w:rsidR="009E2410" w:rsidRPr="00912C8C" w:rsidRDefault="002A2140" w:rsidP="002A2140">
            <w:pPr>
              <w:jc w:val="center"/>
              <w:rPr>
                <w:lang w:val="uk-UA" w:eastAsia="en-US"/>
              </w:rPr>
            </w:pPr>
            <w:r>
              <w:rPr>
                <w:lang w:val="uk-UA" w:eastAsia="en-US"/>
              </w:rPr>
              <w:t>2 013</w:t>
            </w:r>
          </w:p>
        </w:tc>
      </w:tr>
      <w:tr w:rsidR="009E2410" w:rsidRPr="00682EFB" w:rsidTr="000C670C">
        <w:tc>
          <w:tcPr>
            <w:tcW w:w="6345" w:type="dxa"/>
          </w:tcPr>
          <w:p w:rsidR="009E2410" w:rsidRPr="00912C8C" w:rsidRDefault="009E2410" w:rsidP="009E2410">
            <w:pPr>
              <w:jc w:val="both"/>
              <w:rPr>
                <w:lang w:val="uk-UA" w:eastAsia="en-US"/>
              </w:rPr>
            </w:pPr>
            <w:r>
              <w:rPr>
                <w:lang w:val="uk-UA" w:eastAsia="en-US"/>
              </w:rPr>
              <w:t>Відрахування на соціальні заходи</w:t>
            </w:r>
          </w:p>
        </w:tc>
        <w:tc>
          <w:tcPr>
            <w:tcW w:w="1701" w:type="dxa"/>
          </w:tcPr>
          <w:p w:rsidR="009E2410" w:rsidRPr="00912C8C" w:rsidRDefault="009E2410" w:rsidP="009E2410">
            <w:pPr>
              <w:jc w:val="center"/>
              <w:rPr>
                <w:lang w:val="uk-UA" w:eastAsia="en-US"/>
              </w:rPr>
            </w:pPr>
            <w:r>
              <w:rPr>
                <w:lang w:val="uk-UA" w:eastAsia="en-US"/>
              </w:rPr>
              <w:t>294</w:t>
            </w:r>
          </w:p>
        </w:tc>
        <w:tc>
          <w:tcPr>
            <w:tcW w:w="1701" w:type="dxa"/>
          </w:tcPr>
          <w:p w:rsidR="009E2410" w:rsidRPr="00912C8C" w:rsidRDefault="002A2140" w:rsidP="009E2410">
            <w:pPr>
              <w:jc w:val="center"/>
              <w:rPr>
                <w:lang w:val="uk-UA" w:eastAsia="en-US"/>
              </w:rPr>
            </w:pPr>
            <w:r>
              <w:rPr>
                <w:lang w:val="uk-UA" w:eastAsia="en-US"/>
              </w:rPr>
              <w:t>401</w:t>
            </w:r>
          </w:p>
        </w:tc>
      </w:tr>
      <w:tr w:rsidR="009E2410" w:rsidRPr="00682EFB" w:rsidTr="000C670C">
        <w:tc>
          <w:tcPr>
            <w:tcW w:w="6345" w:type="dxa"/>
          </w:tcPr>
          <w:p w:rsidR="009E2410" w:rsidRPr="00912C8C" w:rsidRDefault="009E2410" w:rsidP="009E2410">
            <w:pPr>
              <w:jc w:val="both"/>
              <w:rPr>
                <w:lang w:val="uk-UA" w:eastAsia="en-US"/>
              </w:rPr>
            </w:pPr>
            <w:r>
              <w:rPr>
                <w:lang w:val="uk-UA" w:eastAsia="en-US"/>
              </w:rPr>
              <w:t>Амортизація</w:t>
            </w:r>
          </w:p>
        </w:tc>
        <w:tc>
          <w:tcPr>
            <w:tcW w:w="1701" w:type="dxa"/>
          </w:tcPr>
          <w:p w:rsidR="009E2410" w:rsidRPr="00912C8C" w:rsidRDefault="009E2410" w:rsidP="009E2410">
            <w:pPr>
              <w:jc w:val="center"/>
              <w:rPr>
                <w:lang w:val="uk-UA" w:eastAsia="en-US"/>
              </w:rPr>
            </w:pPr>
            <w:r>
              <w:rPr>
                <w:lang w:val="uk-UA" w:eastAsia="en-US"/>
              </w:rPr>
              <w:t>364</w:t>
            </w:r>
          </w:p>
        </w:tc>
        <w:tc>
          <w:tcPr>
            <w:tcW w:w="1701" w:type="dxa"/>
          </w:tcPr>
          <w:p w:rsidR="009E2410" w:rsidRPr="00912C8C" w:rsidRDefault="002A2140" w:rsidP="009E2410">
            <w:pPr>
              <w:jc w:val="center"/>
              <w:rPr>
                <w:lang w:val="uk-UA" w:eastAsia="en-US"/>
              </w:rPr>
            </w:pPr>
            <w:r>
              <w:rPr>
                <w:lang w:val="uk-UA" w:eastAsia="en-US"/>
              </w:rPr>
              <w:t>46</w:t>
            </w:r>
          </w:p>
        </w:tc>
      </w:tr>
      <w:tr w:rsidR="009E2410" w:rsidRPr="00682EFB" w:rsidTr="000C670C">
        <w:tc>
          <w:tcPr>
            <w:tcW w:w="6345" w:type="dxa"/>
          </w:tcPr>
          <w:p w:rsidR="009E2410" w:rsidRPr="00912C8C" w:rsidRDefault="009E2410" w:rsidP="009E2410">
            <w:pPr>
              <w:jc w:val="both"/>
              <w:rPr>
                <w:lang w:val="uk-UA" w:eastAsia="en-US"/>
              </w:rPr>
            </w:pPr>
            <w:r>
              <w:rPr>
                <w:lang w:val="uk-UA" w:eastAsia="en-US"/>
              </w:rPr>
              <w:t>Інші операційні витрати</w:t>
            </w:r>
          </w:p>
        </w:tc>
        <w:tc>
          <w:tcPr>
            <w:tcW w:w="1701" w:type="dxa"/>
          </w:tcPr>
          <w:p w:rsidR="009E2410" w:rsidRPr="00912C8C" w:rsidRDefault="009E2410" w:rsidP="009E2410">
            <w:pPr>
              <w:jc w:val="center"/>
              <w:rPr>
                <w:lang w:val="uk-UA" w:eastAsia="en-US"/>
              </w:rPr>
            </w:pPr>
            <w:r>
              <w:rPr>
                <w:lang w:val="uk-UA" w:eastAsia="en-US"/>
              </w:rPr>
              <w:t>915</w:t>
            </w:r>
          </w:p>
        </w:tc>
        <w:tc>
          <w:tcPr>
            <w:tcW w:w="1701" w:type="dxa"/>
          </w:tcPr>
          <w:p w:rsidR="009E2410" w:rsidRPr="00912C8C" w:rsidRDefault="002A2140" w:rsidP="009E2410">
            <w:pPr>
              <w:jc w:val="center"/>
              <w:rPr>
                <w:lang w:val="uk-UA" w:eastAsia="en-US"/>
              </w:rPr>
            </w:pPr>
            <w:r>
              <w:rPr>
                <w:lang w:val="uk-UA" w:eastAsia="en-US"/>
              </w:rPr>
              <w:t>1581</w:t>
            </w:r>
          </w:p>
        </w:tc>
      </w:tr>
      <w:tr w:rsidR="009E2410" w:rsidRPr="00682EFB" w:rsidTr="000C670C">
        <w:tc>
          <w:tcPr>
            <w:tcW w:w="6345" w:type="dxa"/>
          </w:tcPr>
          <w:p w:rsidR="009E2410" w:rsidRPr="00050B6A" w:rsidRDefault="009E2410" w:rsidP="009E2410">
            <w:pPr>
              <w:jc w:val="both"/>
              <w:rPr>
                <w:b/>
                <w:lang w:val="uk-UA" w:eastAsia="en-US"/>
              </w:rPr>
            </w:pPr>
            <w:r w:rsidRPr="00050B6A">
              <w:rPr>
                <w:b/>
                <w:lang w:val="uk-UA" w:eastAsia="en-US"/>
              </w:rPr>
              <w:t>Всього адміністративні витрати</w:t>
            </w:r>
          </w:p>
        </w:tc>
        <w:tc>
          <w:tcPr>
            <w:tcW w:w="1701" w:type="dxa"/>
          </w:tcPr>
          <w:p w:rsidR="009E2410" w:rsidRPr="00050B6A" w:rsidRDefault="009E2410" w:rsidP="009E2410">
            <w:pPr>
              <w:jc w:val="center"/>
              <w:rPr>
                <w:b/>
                <w:lang w:val="uk-UA" w:eastAsia="en-US"/>
              </w:rPr>
            </w:pPr>
            <w:r>
              <w:rPr>
                <w:b/>
                <w:lang w:val="uk-UA" w:eastAsia="en-US"/>
              </w:rPr>
              <w:t>3 212</w:t>
            </w:r>
          </w:p>
        </w:tc>
        <w:tc>
          <w:tcPr>
            <w:tcW w:w="1701" w:type="dxa"/>
          </w:tcPr>
          <w:p w:rsidR="009E2410" w:rsidRPr="00050B6A" w:rsidRDefault="002A2140" w:rsidP="002A2140">
            <w:pPr>
              <w:jc w:val="center"/>
              <w:rPr>
                <w:b/>
                <w:lang w:val="uk-UA" w:eastAsia="en-US"/>
              </w:rPr>
            </w:pPr>
            <w:r>
              <w:rPr>
                <w:b/>
                <w:lang w:val="uk-UA" w:eastAsia="en-US"/>
              </w:rPr>
              <w:t>4</w:t>
            </w:r>
            <w:r w:rsidR="009E2410">
              <w:rPr>
                <w:b/>
                <w:lang w:val="uk-UA" w:eastAsia="en-US"/>
              </w:rPr>
              <w:t xml:space="preserve"> </w:t>
            </w:r>
            <w:r>
              <w:rPr>
                <w:b/>
                <w:lang w:val="uk-UA" w:eastAsia="en-US"/>
              </w:rPr>
              <w:t>138</w:t>
            </w:r>
          </w:p>
        </w:tc>
      </w:tr>
    </w:tbl>
    <w:p w:rsidR="001B2214" w:rsidRPr="003A7188" w:rsidRDefault="000E5ECF" w:rsidP="001B2214">
      <w:pPr>
        <w:jc w:val="both"/>
        <w:rPr>
          <w:bCs/>
          <w:iCs/>
          <w:color w:val="000000" w:themeColor="text1"/>
          <w:sz w:val="22"/>
          <w:szCs w:val="22"/>
          <w:lang w:val="uk-UA" w:eastAsia="en-US"/>
        </w:rPr>
      </w:pPr>
      <w:r>
        <w:rPr>
          <w:bCs/>
          <w:iCs/>
          <w:color w:val="000000" w:themeColor="text1"/>
          <w:sz w:val="22"/>
          <w:szCs w:val="22"/>
          <w:lang w:val="uk-UA" w:eastAsia="en-US"/>
        </w:rPr>
        <w:t xml:space="preserve">Інші операційні витрати включають: витрати за послуги оренди, охорони, </w:t>
      </w:r>
      <w:r w:rsidR="003A7188">
        <w:rPr>
          <w:bCs/>
          <w:iCs/>
          <w:color w:val="000000" w:themeColor="text1"/>
          <w:sz w:val="22"/>
          <w:szCs w:val="22"/>
          <w:lang w:val="uk-UA" w:eastAsia="en-US"/>
        </w:rPr>
        <w:t>витрати на утримання</w:t>
      </w:r>
      <w:r w:rsidR="003A7188">
        <w:rPr>
          <w:bCs/>
          <w:iCs/>
          <w:color w:val="000000" w:themeColor="text1"/>
          <w:sz w:val="22"/>
          <w:szCs w:val="22"/>
          <w:lang w:eastAsia="en-US"/>
        </w:rPr>
        <w:t xml:space="preserve"> </w:t>
      </w:r>
      <w:r w:rsidR="003A7188">
        <w:rPr>
          <w:bCs/>
          <w:iCs/>
          <w:color w:val="000000" w:themeColor="text1"/>
          <w:sz w:val="22"/>
          <w:szCs w:val="22"/>
          <w:lang w:val="uk-UA" w:eastAsia="en-US"/>
        </w:rPr>
        <w:t>інших необоротних матеріальних активів, витрати на придбання ліцензій та програмного забезпечення, комунальні витрати.</w:t>
      </w:r>
    </w:p>
    <w:p w:rsidR="001B2214" w:rsidRPr="001C7D9F" w:rsidRDefault="001B2214" w:rsidP="001B2214">
      <w:pPr>
        <w:jc w:val="both"/>
        <w:rPr>
          <w:bCs/>
          <w:iCs/>
          <w:u w:val="single"/>
          <w:lang w:val="uk-UA" w:eastAsia="en-US"/>
        </w:rPr>
      </w:pPr>
      <w:r w:rsidRPr="001C7D9F">
        <w:rPr>
          <w:bCs/>
          <w:iCs/>
          <w:u w:val="single"/>
          <w:lang w:val="uk-UA" w:eastAsia="en-US"/>
        </w:rPr>
        <w:t>Податок на прибуток</w:t>
      </w:r>
    </w:p>
    <w:p w:rsidR="001B2214" w:rsidRPr="002C5E81"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0C670C" w:rsidRPr="002C5E81" w:rsidTr="000C670C">
        <w:trPr>
          <w:trHeight w:val="391"/>
        </w:trPr>
        <w:tc>
          <w:tcPr>
            <w:tcW w:w="6487" w:type="dxa"/>
          </w:tcPr>
          <w:p w:rsidR="000C670C" w:rsidRPr="002C5E81" w:rsidRDefault="000C670C" w:rsidP="000C670C">
            <w:pPr>
              <w:jc w:val="both"/>
              <w:rPr>
                <w:lang w:val="uk-UA" w:eastAsia="en-US"/>
              </w:rPr>
            </w:pPr>
          </w:p>
        </w:tc>
        <w:tc>
          <w:tcPr>
            <w:tcW w:w="1630" w:type="dxa"/>
          </w:tcPr>
          <w:p w:rsidR="000C670C" w:rsidRPr="002C5E81" w:rsidRDefault="002A2140" w:rsidP="000C670C">
            <w:pPr>
              <w:jc w:val="center"/>
              <w:rPr>
                <w:lang w:val="uk-UA" w:eastAsia="en-US"/>
              </w:rPr>
            </w:pPr>
            <w:r>
              <w:rPr>
                <w:lang w:val="uk-UA" w:eastAsia="en-US"/>
              </w:rPr>
              <w:t>2020</w:t>
            </w:r>
            <w:r w:rsidR="000C670C" w:rsidRPr="002C5E81">
              <w:rPr>
                <w:lang w:val="uk-UA" w:eastAsia="en-US"/>
              </w:rPr>
              <w:t xml:space="preserve"> рік</w:t>
            </w:r>
          </w:p>
        </w:tc>
        <w:tc>
          <w:tcPr>
            <w:tcW w:w="1630" w:type="dxa"/>
          </w:tcPr>
          <w:p w:rsidR="000C670C" w:rsidRPr="002C5E81" w:rsidRDefault="002A2140" w:rsidP="000C670C">
            <w:pPr>
              <w:jc w:val="center"/>
              <w:rPr>
                <w:lang w:val="uk-UA" w:eastAsia="en-US"/>
              </w:rPr>
            </w:pPr>
            <w:r>
              <w:rPr>
                <w:lang w:val="uk-UA" w:eastAsia="en-US"/>
              </w:rPr>
              <w:t>2021</w:t>
            </w:r>
            <w:r w:rsidR="000C670C" w:rsidRPr="002C5E81">
              <w:rPr>
                <w:lang w:val="uk-UA" w:eastAsia="en-US"/>
              </w:rPr>
              <w:t xml:space="preserve"> рік</w:t>
            </w:r>
          </w:p>
        </w:tc>
      </w:tr>
      <w:tr w:rsidR="002A2140" w:rsidRPr="002C5E81" w:rsidTr="000C670C">
        <w:trPr>
          <w:trHeight w:val="292"/>
        </w:trPr>
        <w:tc>
          <w:tcPr>
            <w:tcW w:w="6487" w:type="dxa"/>
          </w:tcPr>
          <w:p w:rsidR="002A2140" w:rsidRPr="002C5E81" w:rsidRDefault="002A2140" w:rsidP="002A2140">
            <w:pPr>
              <w:jc w:val="both"/>
              <w:rPr>
                <w:lang w:val="uk-UA" w:eastAsia="en-US"/>
              </w:rPr>
            </w:pPr>
            <w:r w:rsidRPr="002C5E81">
              <w:rPr>
                <w:lang w:val="uk-UA" w:eastAsia="en-US"/>
              </w:rPr>
              <w:t>Поточний податок на прибуток</w:t>
            </w:r>
          </w:p>
        </w:tc>
        <w:tc>
          <w:tcPr>
            <w:tcW w:w="1630" w:type="dxa"/>
          </w:tcPr>
          <w:p w:rsidR="002A2140" w:rsidRPr="002C5E81" w:rsidRDefault="002A2140" w:rsidP="002A2140">
            <w:pPr>
              <w:jc w:val="center"/>
              <w:rPr>
                <w:lang w:val="uk-UA" w:eastAsia="en-US"/>
              </w:rPr>
            </w:pPr>
            <w:r>
              <w:rPr>
                <w:lang w:val="uk-UA" w:eastAsia="en-US"/>
              </w:rPr>
              <w:t>26</w:t>
            </w:r>
          </w:p>
        </w:tc>
        <w:tc>
          <w:tcPr>
            <w:tcW w:w="1630" w:type="dxa"/>
          </w:tcPr>
          <w:p w:rsidR="002A2140" w:rsidRPr="002C5E81" w:rsidRDefault="002A2140" w:rsidP="002A2140">
            <w:pPr>
              <w:jc w:val="center"/>
              <w:rPr>
                <w:lang w:val="uk-UA" w:eastAsia="en-US"/>
              </w:rPr>
            </w:pPr>
            <w:r>
              <w:rPr>
                <w:lang w:val="uk-UA" w:eastAsia="en-US"/>
              </w:rPr>
              <w:t>35</w:t>
            </w:r>
          </w:p>
        </w:tc>
      </w:tr>
      <w:tr w:rsidR="002A2140" w:rsidRPr="002C5E81" w:rsidTr="000C670C">
        <w:trPr>
          <w:trHeight w:val="281"/>
        </w:trPr>
        <w:tc>
          <w:tcPr>
            <w:tcW w:w="6487" w:type="dxa"/>
          </w:tcPr>
          <w:p w:rsidR="002A2140" w:rsidRPr="002C5E81" w:rsidRDefault="002A2140" w:rsidP="002A2140">
            <w:pPr>
              <w:jc w:val="both"/>
              <w:rPr>
                <w:lang w:val="uk-UA" w:eastAsia="en-US"/>
              </w:rPr>
            </w:pPr>
            <w:r w:rsidRPr="002C5E81">
              <w:rPr>
                <w:lang w:val="uk-UA" w:eastAsia="en-US"/>
              </w:rPr>
              <w:t>Відстрочені податкові активи</w:t>
            </w:r>
          </w:p>
        </w:tc>
        <w:tc>
          <w:tcPr>
            <w:tcW w:w="1630" w:type="dxa"/>
          </w:tcPr>
          <w:p w:rsidR="002A2140" w:rsidRPr="002C5E81" w:rsidRDefault="002A2140" w:rsidP="002A2140">
            <w:pPr>
              <w:jc w:val="center"/>
              <w:rPr>
                <w:lang w:val="uk-UA" w:eastAsia="en-US"/>
              </w:rPr>
            </w:pPr>
            <w:r w:rsidRPr="002C5E81">
              <w:rPr>
                <w:lang w:val="uk-UA" w:eastAsia="en-US"/>
              </w:rPr>
              <w:t>-</w:t>
            </w:r>
          </w:p>
        </w:tc>
        <w:tc>
          <w:tcPr>
            <w:tcW w:w="1630" w:type="dxa"/>
          </w:tcPr>
          <w:p w:rsidR="002A2140" w:rsidRPr="002C5E81" w:rsidRDefault="002A2140" w:rsidP="002A2140">
            <w:pPr>
              <w:jc w:val="center"/>
              <w:rPr>
                <w:lang w:val="uk-UA" w:eastAsia="en-US"/>
              </w:rPr>
            </w:pPr>
            <w:r w:rsidRPr="002C5E81">
              <w:rPr>
                <w:lang w:val="uk-UA" w:eastAsia="en-US"/>
              </w:rPr>
              <w:t>-</w:t>
            </w:r>
          </w:p>
        </w:tc>
      </w:tr>
      <w:tr w:rsidR="002A2140" w:rsidRPr="002C5E81" w:rsidTr="000C670C">
        <w:trPr>
          <w:trHeight w:val="391"/>
        </w:trPr>
        <w:tc>
          <w:tcPr>
            <w:tcW w:w="6487" w:type="dxa"/>
          </w:tcPr>
          <w:p w:rsidR="002A2140" w:rsidRPr="00050B6A" w:rsidRDefault="002A2140" w:rsidP="002A2140">
            <w:pPr>
              <w:jc w:val="both"/>
              <w:rPr>
                <w:b/>
                <w:lang w:val="uk-UA" w:eastAsia="en-US"/>
              </w:rPr>
            </w:pPr>
            <w:r w:rsidRPr="00050B6A">
              <w:rPr>
                <w:b/>
                <w:lang w:val="uk-UA" w:eastAsia="en-US"/>
              </w:rPr>
              <w:t>Всього податок на прибуток</w:t>
            </w:r>
          </w:p>
        </w:tc>
        <w:tc>
          <w:tcPr>
            <w:tcW w:w="1630" w:type="dxa"/>
          </w:tcPr>
          <w:p w:rsidR="002A2140" w:rsidRPr="00050B6A" w:rsidRDefault="002A2140" w:rsidP="002A2140">
            <w:pPr>
              <w:jc w:val="center"/>
              <w:rPr>
                <w:b/>
                <w:lang w:val="uk-UA" w:eastAsia="en-US"/>
              </w:rPr>
            </w:pPr>
            <w:r>
              <w:rPr>
                <w:b/>
                <w:lang w:val="uk-UA" w:eastAsia="en-US"/>
              </w:rPr>
              <w:t>26</w:t>
            </w:r>
          </w:p>
        </w:tc>
        <w:tc>
          <w:tcPr>
            <w:tcW w:w="1630" w:type="dxa"/>
          </w:tcPr>
          <w:p w:rsidR="002A2140" w:rsidRPr="00050B6A" w:rsidRDefault="002A2140" w:rsidP="002A2140">
            <w:pPr>
              <w:jc w:val="center"/>
              <w:rPr>
                <w:b/>
                <w:lang w:val="uk-UA" w:eastAsia="en-US"/>
              </w:rPr>
            </w:pPr>
            <w:r>
              <w:rPr>
                <w:b/>
                <w:lang w:val="uk-UA" w:eastAsia="en-US"/>
              </w:rPr>
              <w:t>35</w:t>
            </w:r>
          </w:p>
        </w:tc>
      </w:tr>
    </w:tbl>
    <w:p w:rsidR="007256C8" w:rsidRDefault="001B2214" w:rsidP="001B2214">
      <w:pPr>
        <w:jc w:val="both"/>
        <w:rPr>
          <w:lang w:val="uk-UA" w:eastAsia="en-US"/>
        </w:rPr>
      </w:pPr>
      <w:r w:rsidRPr="002C5E81">
        <w:rPr>
          <w:lang w:val="uk-UA" w:eastAsia="en-US"/>
        </w:rPr>
        <w:t>Доходи Товариства оподатковуються за ставкою 18%</w:t>
      </w:r>
      <w:r w:rsidR="001C7D9F">
        <w:rPr>
          <w:lang w:val="uk-UA" w:eastAsia="en-US"/>
        </w:rPr>
        <w:t>.</w:t>
      </w:r>
    </w:p>
    <w:p w:rsidR="007256C8" w:rsidRDefault="007256C8" w:rsidP="001B2214">
      <w:pPr>
        <w:jc w:val="both"/>
        <w:rPr>
          <w:lang w:val="uk-UA" w:eastAsia="en-US"/>
        </w:rPr>
      </w:pPr>
    </w:p>
    <w:p w:rsidR="006105C8" w:rsidRPr="006105C8" w:rsidRDefault="006105C8" w:rsidP="001B2214">
      <w:pPr>
        <w:jc w:val="both"/>
        <w:rPr>
          <w:u w:val="single"/>
          <w:lang w:val="uk-UA" w:eastAsia="en-US"/>
        </w:rPr>
      </w:pPr>
      <w:r w:rsidRPr="006105C8">
        <w:rPr>
          <w:u w:val="single"/>
          <w:lang w:val="uk-UA" w:eastAsia="en-US"/>
        </w:rPr>
        <w:t>Чистий фінансовий результат</w:t>
      </w:r>
    </w:p>
    <w:p w:rsidR="006105C8" w:rsidRDefault="006105C8" w:rsidP="001B2214">
      <w:pPr>
        <w:jc w:val="both"/>
        <w:rPr>
          <w:lang w:val="uk-UA"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7256C8" w:rsidRPr="002C5E81" w:rsidTr="00D81E9C">
        <w:trPr>
          <w:trHeight w:val="391"/>
        </w:trPr>
        <w:tc>
          <w:tcPr>
            <w:tcW w:w="6487" w:type="dxa"/>
          </w:tcPr>
          <w:p w:rsidR="007256C8" w:rsidRPr="002C5E81" w:rsidRDefault="007256C8" w:rsidP="00D81E9C">
            <w:pPr>
              <w:jc w:val="both"/>
              <w:rPr>
                <w:lang w:val="uk-UA" w:eastAsia="en-US"/>
              </w:rPr>
            </w:pPr>
          </w:p>
        </w:tc>
        <w:tc>
          <w:tcPr>
            <w:tcW w:w="1630" w:type="dxa"/>
          </w:tcPr>
          <w:p w:rsidR="007256C8" w:rsidRPr="002C5E81" w:rsidRDefault="002A2140" w:rsidP="00D81E9C">
            <w:pPr>
              <w:jc w:val="center"/>
              <w:rPr>
                <w:lang w:val="uk-UA" w:eastAsia="en-US"/>
              </w:rPr>
            </w:pPr>
            <w:r>
              <w:rPr>
                <w:lang w:val="uk-UA" w:eastAsia="en-US"/>
              </w:rPr>
              <w:t>2020</w:t>
            </w:r>
            <w:r w:rsidR="007256C8" w:rsidRPr="002C5E81">
              <w:rPr>
                <w:lang w:val="uk-UA" w:eastAsia="en-US"/>
              </w:rPr>
              <w:t xml:space="preserve"> рік</w:t>
            </w:r>
          </w:p>
        </w:tc>
        <w:tc>
          <w:tcPr>
            <w:tcW w:w="1630" w:type="dxa"/>
          </w:tcPr>
          <w:p w:rsidR="007256C8" w:rsidRPr="002C5E81" w:rsidRDefault="002A2140" w:rsidP="00D81E9C">
            <w:pPr>
              <w:jc w:val="center"/>
              <w:rPr>
                <w:lang w:val="uk-UA" w:eastAsia="en-US"/>
              </w:rPr>
            </w:pPr>
            <w:r>
              <w:rPr>
                <w:lang w:val="uk-UA" w:eastAsia="en-US"/>
              </w:rPr>
              <w:t>2021</w:t>
            </w:r>
            <w:r w:rsidR="007256C8" w:rsidRPr="002C5E81">
              <w:rPr>
                <w:lang w:val="uk-UA" w:eastAsia="en-US"/>
              </w:rPr>
              <w:t xml:space="preserve"> рік</w:t>
            </w:r>
          </w:p>
        </w:tc>
      </w:tr>
      <w:tr w:rsidR="007256C8" w:rsidRPr="002C5E81" w:rsidTr="00D81E9C">
        <w:trPr>
          <w:trHeight w:val="292"/>
        </w:trPr>
        <w:tc>
          <w:tcPr>
            <w:tcW w:w="6487" w:type="dxa"/>
          </w:tcPr>
          <w:p w:rsidR="007256C8" w:rsidRPr="002C5E81" w:rsidRDefault="006105C8" w:rsidP="00D81E9C">
            <w:pPr>
              <w:jc w:val="both"/>
              <w:rPr>
                <w:lang w:val="uk-UA" w:eastAsia="en-US"/>
              </w:rPr>
            </w:pPr>
            <w:r>
              <w:rPr>
                <w:lang w:val="uk-UA" w:eastAsia="en-US"/>
              </w:rPr>
              <w:t>Прибуток</w:t>
            </w:r>
          </w:p>
        </w:tc>
        <w:tc>
          <w:tcPr>
            <w:tcW w:w="1630" w:type="dxa"/>
          </w:tcPr>
          <w:p w:rsidR="007256C8" w:rsidRPr="002C5E81" w:rsidRDefault="002A2140" w:rsidP="00D81E9C">
            <w:pPr>
              <w:jc w:val="center"/>
              <w:rPr>
                <w:lang w:val="uk-UA" w:eastAsia="en-US"/>
              </w:rPr>
            </w:pPr>
            <w:r>
              <w:rPr>
                <w:lang w:val="uk-UA" w:eastAsia="en-US"/>
              </w:rPr>
              <w:t>93</w:t>
            </w:r>
          </w:p>
        </w:tc>
        <w:tc>
          <w:tcPr>
            <w:tcW w:w="1630" w:type="dxa"/>
          </w:tcPr>
          <w:p w:rsidR="007256C8" w:rsidRPr="002C5E81" w:rsidRDefault="002A2140" w:rsidP="006105C8">
            <w:pPr>
              <w:jc w:val="center"/>
              <w:rPr>
                <w:lang w:val="uk-UA" w:eastAsia="en-US"/>
              </w:rPr>
            </w:pPr>
            <w:r>
              <w:rPr>
                <w:lang w:val="uk-UA" w:eastAsia="en-US"/>
              </w:rPr>
              <w:t>195</w:t>
            </w:r>
          </w:p>
        </w:tc>
      </w:tr>
    </w:tbl>
    <w:p w:rsidR="001B2214" w:rsidRDefault="001B2214" w:rsidP="001B2214">
      <w:pPr>
        <w:jc w:val="both"/>
        <w:rPr>
          <w:lang w:val="uk-UA" w:eastAsia="en-US"/>
        </w:rPr>
      </w:pPr>
    </w:p>
    <w:p w:rsidR="001B2214" w:rsidRPr="00006C60" w:rsidRDefault="001B2214" w:rsidP="001B2214">
      <w:pPr>
        <w:rPr>
          <w:b/>
          <w:lang w:val="uk-UA"/>
        </w:rPr>
      </w:pPr>
      <w:bookmarkStart w:id="2" w:name="bookmark54"/>
      <w:r w:rsidRPr="00006C60">
        <w:rPr>
          <w:b/>
          <w:lang w:val="uk-UA"/>
        </w:rPr>
        <w:t xml:space="preserve">7.3. </w:t>
      </w:r>
      <w:r w:rsidR="006105C8" w:rsidRPr="00603C20">
        <w:rPr>
          <w:b/>
          <w:bCs/>
          <w:iCs/>
          <w:color w:val="000000"/>
          <w:lang w:val="uk-UA" w:eastAsia="uk-UA"/>
        </w:rPr>
        <w:t xml:space="preserve">Розкриття інформації, що підтверджує статті, подані </w:t>
      </w:r>
      <w:r w:rsidR="006105C8">
        <w:rPr>
          <w:b/>
          <w:bCs/>
          <w:iCs/>
          <w:color w:val="000000"/>
          <w:lang w:val="uk-UA" w:eastAsia="uk-UA"/>
        </w:rPr>
        <w:t xml:space="preserve">у </w:t>
      </w:r>
      <w:r w:rsidRPr="00006C60">
        <w:rPr>
          <w:b/>
          <w:lang w:val="uk-UA"/>
        </w:rPr>
        <w:t>Звіт</w:t>
      </w:r>
      <w:r w:rsidR="006105C8">
        <w:rPr>
          <w:b/>
          <w:lang w:val="uk-UA"/>
        </w:rPr>
        <w:t>і</w:t>
      </w:r>
      <w:r w:rsidRPr="00006C60">
        <w:rPr>
          <w:b/>
          <w:lang w:val="uk-UA"/>
        </w:rPr>
        <w:t xml:space="preserve"> про рух грошових коштів</w:t>
      </w:r>
    </w:p>
    <w:bookmarkEnd w:id="2"/>
    <w:p w:rsidR="001B2214" w:rsidRDefault="001B2214" w:rsidP="001B2214">
      <w:pPr>
        <w:jc w:val="both"/>
        <w:rPr>
          <w:lang w:val="uk-UA"/>
        </w:rPr>
      </w:pPr>
    </w:p>
    <w:p w:rsidR="001B2214" w:rsidRPr="00F31920" w:rsidRDefault="001B2214" w:rsidP="001B2214">
      <w:pPr>
        <w:jc w:val="both"/>
        <w:rPr>
          <w:u w:val="single"/>
          <w:lang w:val="uk-UA"/>
        </w:rPr>
      </w:pPr>
      <w:r w:rsidRPr="00F31920">
        <w:rPr>
          <w:u w:val="single"/>
          <w:lang w:val="uk-UA"/>
        </w:rPr>
        <w:t xml:space="preserve">Надходження коштів у результаті операційної діяльності: </w:t>
      </w:r>
    </w:p>
    <w:p w:rsidR="001B2214" w:rsidRPr="00535E93" w:rsidRDefault="001B2214" w:rsidP="001B2214">
      <w:pPr>
        <w:jc w:val="right"/>
        <w:rPr>
          <w:lang w:val="uk-UA"/>
        </w:rPr>
      </w:pPr>
      <w:r w:rsidRPr="008B7479">
        <w:rPr>
          <w:lang w:val="uk-UA"/>
        </w:rPr>
        <w:lastRenderedPageBreak/>
        <w:t>тис. грн.</w:t>
      </w:r>
    </w:p>
    <w:tbl>
      <w:tblPr>
        <w:tblOverlap w:val="neve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79"/>
        <w:gridCol w:w="1630"/>
        <w:gridCol w:w="1630"/>
      </w:tblGrid>
      <w:tr w:rsidR="000C670C" w:rsidRPr="00796135" w:rsidTr="000C670C">
        <w:trPr>
          <w:trHeight w:val="346"/>
        </w:trPr>
        <w:tc>
          <w:tcPr>
            <w:tcW w:w="6379" w:type="dxa"/>
            <w:shd w:val="clear" w:color="auto" w:fill="FFFFFF"/>
          </w:tcPr>
          <w:p w:rsidR="000C670C" w:rsidRPr="00796135" w:rsidRDefault="000C670C" w:rsidP="000C670C">
            <w:pPr>
              <w:jc w:val="both"/>
              <w:rPr>
                <w:sz w:val="22"/>
                <w:szCs w:val="22"/>
              </w:rPr>
            </w:pPr>
          </w:p>
        </w:tc>
        <w:tc>
          <w:tcPr>
            <w:tcW w:w="1630" w:type="dxa"/>
            <w:shd w:val="clear" w:color="auto" w:fill="FFFFFF"/>
          </w:tcPr>
          <w:p w:rsidR="000C670C" w:rsidRPr="00F26643" w:rsidRDefault="002A2140" w:rsidP="000C670C">
            <w:pPr>
              <w:jc w:val="center"/>
            </w:pPr>
            <w:r>
              <w:t>2020</w:t>
            </w:r>
            <w:r w:rsidR="000C670C" w:rsidRPr="00F26643">
              <w:t xml:space="preserve">  рік</w:t>
            </w:r>
          </w:p>
        </w:tc>
        <w:tc>
          <w:tcPr>
            <w:tcW w:w="1630" w:type="dxa"/>
            <w:shd w:val="clear" w:color="auto" w:fill="FFFFFF"/>
          </w:tcPr>
          <w:p w:rsidR="000C670C" w:rsidRPr="00F26643" w:rsidRDefault="002A2140" w:rsidP="000C670C">
            <w:pPr>
              <w:jc w:val="center"/>
            </w:pPr>
            <w:r>
              <w:t>2021</w:t>
            </w:r>
            <w:r w:rsidR="000C670C" w:rsidRPr="00F26643">
              <w:t xml:space="preserve">  рік</w:t>
            </w:r>
          </w:p>
        </w:tc>
      </w:tr>
      <w:tr w:rsidR="002A2140" w:rsidRPr="008B7479" w:rsidTr="000C670C">
        <w:trPr>
          <w:trHeight w:val="346"/>
        </w:trPr>
        <w:tc>
          <w:tcPr>
            <w:tcW w:w="6379" w:type="dxa"/>
            <w:shd w:val="clear" w:color="auto" w:fill="FFFFFF"/>
          </w:tcPr>
          <w:p w:rsidR="002A2140" w:rsidRPr="008B7479" w:rsidRDefault="002A2140" w:rsidP="002A2140">
            <w:pPr>
              <w:jc w:val="both"/>
            </w:pPr>
            <w:r w:rsidRPr="008B7479">
              <w:t>Реалізація продукції (товарів, робіт, послуг)</w:t>
            </w:r>
          </w:p>
        </w:tc>
        <w:tc>
          <w:tcPr>
            <w:tcW w:w="1630" w:type="dxa"/>
            <w:shd w:val="clear" w:color="auto" w:fill="FFFFFF"/>
          </w:tcPr>
          <w:p w:rsidR="002A2140" w:rsidRPr="00F31920" w:rsidRDefault="002A2140" w:rsidP="002A2140">
            <w:pPr>
              <w:jc w:val="center"/>
              <w:rPr>
                <w:lang w:val="uk-UA"/>
              </w:rPr>
            </w:pPr>
            <w:r>
              <w:rPr>
                <w:lang w:val="uk-UA"/>
              </w:rPr>
              <w:t>3 065</w:t>
            </w:r>
          </w:p>
        </w:tc>
        <w:tc>
          <w:tcPr>
            <w:tcW w:w="1630" w:type="dxa"/>
            <w:shd w:val="clear" w:color="auto" w:fill="FFFFFF"/>
          </w:tcPr>
          <w:p w:rsidR="002A2140" w:rsidRPr="00F31920" w:rsidRDefault="002A2140" w:rsidP="002A2140">
            <w:pPr>
              <w:jc w:val="center"/>
              <w:rPr>
                <w:lang w:val="uk-UA"/>
              </w:rPr>
            </w:pPr>
            <w:r>
              <w:rPr>
                <w:lang w:val="uk-UA"/>
              </w:rPr>
              <w:t>3 539</w:t>
            </w:r>
          </w:p>
        </w:tc>
      </w:tr>
      <w:tr w:rsidR="002A2140" w:rsidRPr="008B7479" w:rsidTr="000C670C">
        <w:trPr>
          <w:trHeight w:val="346"/>
        </w:trPr>
        <w:tc>
          <w:tcPr>
            <w:tcW w:w="6379" w:type="dxa"/>
            <w:shd w:val="clear" w:color="auto" w:fill="FFFFFF"/>
          </w:tcPr>
          <w:p w:rsidR="002A2140" w:rsidRPr="008B7479" w:rsidRDefault="002A2140" w:rsidP="002A2140">
            <w:pPr>
              <w:jc w:val="both"/>
            </w:pPr>
            <w:r w:rsidRPr="008B7479">
              <w:t>Надходження від боржників неустойки (штрафів, пені)</w:t>
            </w:r>
          </w:p>
        </w:tc>
        <w:tc>
          <w:tcPr>
            <w:tcW w:w="1630" w:type="dxa"/>
            <w:shd w:val="clear" w:color="auto" w:fill="FFFFFF"/>
          </w:tcPr>
          <w:p w:rsidR="002A2140" w:rsidRPr="00750158" w:rsidRDefault="002A2140" w:rsidP="002A2140">
            <w:pPr>
              <w:jc w:val="center"/>
            </w:pPr>
          </w:p>
        </w:tc>
        <w:tc>
          <w:tcPr>
            <w:tcW w:w="1630" w:type="dxa"/>
            <w:shd w:val="clear" w:color="auto" w:fill="FFFFFF"/>
          </w:tcPr>
          <w:p w:rsidR="002A2140" w:rsidRPr="00750158" w:rsidRDefault="002A2140" w:rsidP="002A2140">
            <w:pPr>
              <w:jc w:val="center"/>
            </w:pPr>
          </w:p>
        </w:tc>
      </w:tr>
      <w:tr w:rsidR="002A2140" w:rsidRPr="008B7479" w:rsidTr="000C670C">
        <w:trPr>
          <w:trHeight w:val="346"/>
        </w:trPr>
        <w:tc>
          <w:tcPr>
            <w:tcW w:w="6379" w:type="dxa"/>
            <w:shd w:val="clear" w:color="auto" w:fill="FFFFFF"/>
          </w:tcPr>
          <w:p w:rsidR="002A2140" w:rsidRPr="008B7479" w:rsidRDefault="002A2140" w:rsidP="002A2140">
            <w:pPr>
              <w:jc w:val="both"/>
            </w:pPr>
            <w:r w:rsidRPr="008B7479">
              <w:t>Надходження фінансових установ  від повернення позик</w:t>
            </w:r>
          </w:p>
        </w:tc>
        <w:tc>
          <w:tcPr>
            <w:tcW w:w="1630" w:type="dxa"/>
            <w:shd w:val="clear" w:color="auto" w:fill="FFFFFF"/>
          </w:tcPr>
          <w:p w:rsidR="002A2140" w:rsidRPr="00F31920" w:rsidRDefault="002A2140" w:rsidP="002A2140">
            <w:pPr>
              <w:jc w:val="center"/>
              <w:rPr>
                <w:lang w:val="uk-UA"/>
              </w:rPr>
            </w:pPr>
            <w:r>
              <w:rPr>
                <w:lang w:val="uk-UA"/>
              </w:rPr>
              <w:t>15  681</w:t>
            </w:r>
          </w:p>
        </w:tc>
        <w:tc>
          <w:tcPr>
            <w:tcW w:w="1630" w:type="dxa"/>
            <w:shd w:val="clear" w:color="auto" w:fill="FFFFFF"/>
          </w:tcPr>
          <w:p w:rsidR="002A2140" w:rsidRPr="00F31920" w:rsidRDefault="002A2140" w:rsidP="002A2140">
            <w:pPr>
              <w:jc w:val="center"/>
              <w:rPr>
                <w:lang w:val="uk-UA"/>
              </w:rPr>
            </w:pPr>
            <w:r>
              <w:rPr>
                <w:lang w:val="uk-UA"/>
              </w:rPr>
              <w:t>14  727</w:t>
            </w:r>
          </w:p>
        </w:tc>
      </w:tr>
      <w:tr w:rsidR="002A2140" w:rsidRPr="008B7479" w:rsidTr="000C670C">
        <w:trPr>
          <w:trHeight w:val="346"/>
        </w:trPr>
        <w:tc>
          <w:tcPr>
            <w:tcW w:w="6379" w:type="dxa"/>
            <w:shd w:val="clear" w:color="auto" w:fill="FFFFFF"/>
          </w:tcPr>
          <w:p w:rsidR="002A2140" w:rsidRPr="008B7479" w:rsidRDefault="002A2140" w:rsidP="002A2140">
            <w:pPr>
              <w:jc w:val="both"/>
            </w:pPr>
            <w:r w:rsidRPr="008B7479">
              <w:t>Інші надходження</w:t>
            </w:r>
          </w:p>
        </w:tc>
        <w:tc>
          <w:tcPr>
            <w:tcW w:w="1630" w:type="dxa"/>
            <w:shd w:val="clear" w:color="auto" w:fill="FFFFFF"/>
          </w:tcPr>
          <w:p w:rsidR="002A2140" w:rsidRPr="00F31920" w:rsidRDefault="002A2140" w:rsidP="002A2140">
            <w:pPr>
              <w:jc w:val="center"/>
              <w:rPr>
                <w:lang w:val="uk-UA"/>
              </w:rPr>
            </w:pPr>
            <w:r>
              <w:rPr>
                <w:lang w:val="uk-UA"/>
              </w:rPr>
              <w:t>2 656</w:t>
            </w:r>
          </w:p>
        </w:tc>
        <w:tc>
          <w:tcPr>
            <w:tcW w:w="1630" w:type="dxa"/>
            <w:shd w:val="clear" w:color="auto" w:fill="FFFFFF"/>
          </w:tcPr>
          <w:p w:rsidR="002A2140" w:rsidRPr="00F31920" w:rsidRDefault="002A2140" w:rsidP="002A2140">
            <w:pPr>
              <w:jc w:val="center"/>
              <w:rPr>
                <w:lang w:val="uk-UA"/>
              </w:rPr>
            </w:pPr>
            <w:r>
              <w:rPr>
                <w:lang w:val="uk-UA"/>
              </w:rPr>
              <w:t>2 550</w:t>
            </w:r>
          </w:p>
        </w:tc>
      </w:tr>
      <w:tr w:rsidR="002A2140" w:rsidRPr="00006C60" w:rsidTr="000C670C">
        <w:trPr>
          <w:trHeight w:val="346"/>
        </w:trPr>
        <w:tc>
          <w:tcPr>
            <w:tcW w:w="6379" w:type="dxa"/>
            <w:shd w:val="clear" w:color="auto" w:fill="FFFFFF"/>
          </w:tcPr>
          <w:p w:rsidR="002A2140" w:rsidRPr="00006C60" w:rsidRDefault="002A2140" w:rsidP="002A2140">
            <w:pPr>
              <w:jc w:val="both"/>
              <w:rPr>
                <w:b/>
              </w:rPr>
            </w:pPr>
            <w:r w:rsidRPr="00006C60">
              <w:rPr>
                <w:b/>
              </w:rPr>
              <w:t>Всього надходжень від операційної діяльності</w:t>
            </w:r>
          </w:p>
        </w:tc>
        <w:tc>
          <w:tcPr>
            <w:tcW w:w="1630" w:type="dxa"/>
            <w:shd w:val="clear" w:color="auto" w:fill="FFFFFF"/>
          </w:tcPr>
          <w:p w:rsidR="002A2140" w:rsidRPr="00F31920" w:rsidRDefault="002A2140" w:rsidP="002A2140">
            <w:pPr>
              <w:jc w:val="center"/>
              <w:rPr>
                <w:b/>
                <w:lang w:val="uk-UA"/>
              </w:rPr>
            </w:pPr>
            <w:r>
              <w:rPr>
                <w:b/>
                <w:lang w:val="uk-UA"/>
              </w:rPr>
              <w:t>21 402</w:t>
            </w:r>
          </w:p>
        </w:tc>
        <w:tc>
          <w:tcPr>
            <w:tcW w:w="1630" w:type="dxa"/>
            <w:shd w:val="clear" w:color="auto" w:fill="FFFFFF"/>
          </w:tcPr>
          <w:p w:rsidR="002A2140" w:rsidRPr="00F31920" w:rsidRDefault="002A2140" w:rsidP="002A2140">
            <w:pPr>
              <w:jc w:val="center"/>
              <w:rPr>
                <w:b/>
                <w:lang w:val="uk-UA"/>
              </w:rPr>
            </w:pPr>
            <w:r>
              <w:rPr>
                <w:b/>
                <w:lang w:val="uk-UA"/>
              </w:rPr>
              <w:t>20 816</w:t>
            </w:r>
          </w:p>
        </w:tc>
      </w:tr>
    </w:tbl>
    <w:p w:rsidR="00571D5E" w:rsidRPr="00A964E3" w:rsidRDefault="00A964E3" w:rsidP="00571D5E">
      <w:pPr>
        <w:jc w:val="both"/>
        <w:rPr>
          <w:bCs/>
          <w:iCs/>
          <w:color w:val="000000" w:themeColor="text1"/>
          <w:sz w:val="22"/>
          <w:szCs w:val="22"/>
          <w:lang w:val="uk-UA" w:eastAsia="en-US"/>
        </w:rPr>
      </w:pPr>
      <w:r>
        <w:rPr>
          <w:bCs/>
          <w:iCs/>
          <w:color w:val="000000" w:themeColor="text1"/>
          <w:sz w:val="22"/>
          <w:szCs w:val="22"/>
          <w:lang w:val="uk-UA" w:eastAsia="en-US"/>
        </w:rPr>
        <w:t>Інші надходження включають в себе надання поворотньої безвідсоткової фінансової допомоги.</w:t>
      </w:r>
    </w:p>
    <w:p w:rsidR="001B2214" w:rsidRPr="00006C60" w:rsidRDefault="001B2214" w:rsidP="001B2214">
      <w:pPr>
        <w:jc w:val="both"/>
        <w:rPr>
          <w:rStyle w:val="11pt"/>
          <w:rFonts w:eastAsia="Calibri"/>
        </w:rPr>
      </w:pPr>
    </w:p>
    <w:p w:rsidR="001B2214" w:rsidRPr="00F31920" w:rsidRDefault="001B2214" w:rsidP="001B2214">
      <w:pPr>
        <w:jc w:val="both"/>
        <w:rPr>
          <w:rStyle w:val="11pt"/>
          <w:rFonts w:eastAsia="Calibri"/>
          <w:b w:val="0"/>
          <w:u w:val="single"/>
        </w:rPr>
      </w:pPr>
      <w:r w:rsidRPr="00F31920">
        <w:rPr>
          <w:rStyle w:val="11pt"/>
          <w:rFonts w:eastAsia="Calibri"/>
          <w:b w:val="0"/>
          <w:u w:val="single"/>
        </w:rPr>
        <w:t xml:space="preserve">Витрачання на операційну діяльність: </w:t>
      </w:r>
    </w:p>
    <w:p w:rsidR="001B2214" w:rsidRPr="00535E93" w:rsidRDefault="001B2214" w:rsidP="001B2214">
      <w:pPr>
        <w:jc w:val="right"/>
        <w:rPr>
          <w:lang w:val="uk-UA"/>
        </w:rPr>
      </w:pPr>
      <w:r w:rsidRPr="008B7479">
        <w:rPr>
          <w:lang w:val="uk-UA"/>
        </w:rPr>
        <w:t>тис. грн.</w:t>
      </w:r>
    </w:p>
    <w:tbl>
      <w:tblPr>
        <w:tblOverlap w:val="never"/>
        <w:tblW w:w="9639" w:type="dxa"/>
        <w:tblInd w:w="10" w:type="dxa"/>
        <w:tblLayout w:type="fixed"/>
        <w:tblCellMar>
          <w:left w:w="10" w:type="dxa"/>
          <w:right w:w="10" w:type="dxa"/>
        </w:tblCellMar>
        <w:tblLook w:val="0000" w:firstRow="0" w:lastRow="0" w:firstColumn="0" w:lastColumn="0" w:noHBand="0" w:noVBand="0"/>
      </w:tblPr>
      <w:tblGrid>
        <w:gridCol w:w="6379"/>
        <w:gridCol w:w="1630"/>
        <w:gridCol w:w="1630"/>
      </w:tblGrid>
      <w:tr w:rsidR="000C670C" w:rsidRPr="008B7479" w:rsidTr="000C670C">
        <w:trPr>
          <w:trHeight w:val="376"/>
        </w:trPr>
        <w:tc>
          <w:tcPr>
            <w:tcW w:w="6379" w:type="dxa"/>
            <w:tcBorders>
              <w:top w:val="single" w:sz="4" w:space="0" w:color="auto"/>
              <w:left w:val="single" w:sz="4" w:space="0" w:color="auto"/>
            </w:tcBorders>
            <w:shd w:val="clear" w:color="auto" w:fill="FFFFFF"/>
          </w:tcPr>
          <w:p w:rsidR="000C670C" w:rsidRPr="008B7479" w:rsidRDefault="000C670C" w:rsidP="000C670C">
            <w:pPr>
              <w:jc w:val="both"/>
            </w:pPr>
          </w:p>
        </w:tc>
        <w:tc>
          <w:tcPr>
            <w:tcW w:w="1630" w:type="dxa"/>
            <w:tcBorders>
              <w:top w:val="single" w:sz="4" w:space="0" w:color="auto"/>
              <w:left w:val="single" w:sz="4" w:space="0" w:color="auto"/>
            </w:tcBorders>
            <w:shd w:val="clear" w:color="auto" w:fill="FFFFFF"/>
          </w:tcPr>
          <w:p w:rsidR="000C670C" w:rsidRPr="008B7479" w:rsidRDefault="002A2140" w:rsidP="000C670C">
            <w:pPr>
              <w:jc w:val="center"/>
            </w:pPr>
            <w:r>
              <w:t>2020</w:t>
            </w:r>
            <w:r w:rsidR="000C670C" w:rsidRPr="008B7479">
              <w:t xml:space="preserve">  рік</w:t>
            </w:r>
          </w:p>
        </w:tc>
        <w:tc>
          <w:tcPr>
            <w:tcW w:w="1630" w:type="dxa"/>
            <w:tcBorders>
              <w:top w:val="single" w:sz="4" w:space="0" w:color="auto"/>
              <w:left w:val="single" w:sz="4" w:space="0" w:color="auto"/>
              <w:right w:val="single" w:sz="4" w:space="0" w:color="auto"/>
            </w:tcBorders>
            <w:shd w:val="clear" w:color="auto" w:fill="FFFFFF"/>
          </w:tcPr>
          <w:p w:rsidR="000C670C" w:rsidRPr="008B7479" w:rsidRDefault="002A2140" w:rsidP="000C670C">
            <w:pPr>
              <w:jc w:val="center"/>
            </w:pPr>
            <w:r>
              <w:t>2021</w:t>
            </w:r>
            <w:r w:rsidR="000C670C" w:rsidRPr="008B7479">
              <w:t xml:space="preserve">  рік</w:t>
            </w:r>
          </w:p>
        </w:tc>
      </w:tr>
      <w:tr w:rsidR="002A2140" w:rsidRPr="008B7479" w:rsidTr="000C670C">
        <w:trPr>
          <w:trHeight w:val="376"/>
        </w:trPr>
        <w:tc>
          <w:tcPr>
            <w:tcW w:w="6379" w:type="dxa"/>
            <w:tcBorders>
              <w:top w:val="single" w:sz="4" w:space="0" w:color="auto"/>
              <w:left w:val="single" w:sz="4" w:space="0" w:color="auto"/>
            </w:tcBorders>
            <w:shd w:val="clear" w:color="auto" w:fill="FFFFFF"/>
            <w:vAlign w:val="bottom"/>
          </w:tcPr>
          <w:p w:rsidR="002A2140" w:rsidRPr="008B7479" w:rsidRDefault="002A2140" w:rsidP="002A2140">
            <w:pPr>
              <w:jc w:val="both"/>
            </w:pPr>
            <w:r w:rsidRPr="008B7479">
              <w:t xml:space="preserve">Витрачання на оплату товарів (робіт, послуг)  </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1628</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1549</w:t>
            </w:r>
          </w:p>
        </w:tc>
      </w:tr>
      <w:tr w:rsidR="002A2140" w:rsidRPr="008B7479" w:rsidTr="000C670C">
        <w:trPr>
          <w:trHeight w:val="376"/>
        </w:trPr>
        <w:tc>
          <w:tcPr>
            <w:tcW w:w="6379" w:type="dxa"/>
            <w:tcBorders>
              <w:top w:val="single" w:sz="4" w:space="0" w:color="auto"/>
              <w:left w:val="single" w:sz="4" w:space="0" w:color="auto"/>
            </w:tcBorders>
            <w:shd w:val="clear" w:color="auto" w:fill="FFFFFF"/>
            <w:vAlign w:val="bottom"/>
          </w:tcPr>
          <w:p w:rsidR="002A2140" w:rsidRPr="008B7479" w:rsidRDefault="002A2140" w:rsidP="002A2140">
            <w:pPr>
              <w:jc w:val="both"/>
            </w:pPr>
            <w:r w:rsidRPr="008B7479">
              <w:t xml:space="preserve">Витрачання на оплату праці  </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1 077</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1 516</w:t>
            </w:r>
          </w:p>
        </w:tc>
      </w:tr>
      <w:tr w:rsidR="002A2140" w:rsidRPr="008B7479" w:rsidTr="000C670C">
        <w:trPr>
          <w:trHeight w:val="376"/>
        </w:trPr>
        <w:tc>
          <w:tcPr>
            <w:tcW w:w="6379" w:type="dxa"/>
            <w:tcBorders>
              <w:top w:val="single" w:sz="4" w:space="0" w:color="auto"/>
              <w:left w:val="single" w:sz="4" w:space="0" w:color="auto"/>
            </w:tcBorders>
            <w:shd w:val="clear" w:color="auto" w:fill="FFFFFF"/>
            <w:vAlign w:val="bottom"/>
          </w:tcPr>
          <w:p w:rsidR="002A2140" w:rsidRPr="008B7479" w:rsidRDefault="002A2140" w:rsidP="002A2140">
            <w:pPr>
              <w:jc w:val="both"/>
            </w:pPr>
            <w:r w:rsidRPr="008B7479">
              <w:t xml:space="preserve">Відрахування на соціальні заходи  </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294</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439</w:t>
            </w:r>
          </w:p>
        </w:tc>
      </w:tr>
      <w:tr w:rsidR="002A2140" w:rsidRPr="008B7479" w:rsidTr="000C670C">
        <w:trPr>
          <w:trHeight w:val="376"/>
        </w:trPr>
        <w:tc>
          <w:tcPr>
            <w:tcW w:w="6379" w:type="dxa"/>
            <w:tcBorders>
              <w:top w:val="single" w:sz="4" w:space="0" w:color="auto"/>
              <w:left w:val="single" w:sz="4" w:space="0" w:color="auto"/>
            </w:tcBorders>
            <w:shd w:val="clear" w:color="auto" w:fill="FFFFFF"/>
            <w:vAlign w:val="bottom"/>
          </w:tcPr>
          <w:p w:rsidR="002A2140" w:rsidRPr="008B7479" w:rsidRDefault="002A2140" w:rsidP="002A2140">
            <w:pPr>
              <w:jc w:val="both"/>
            </w:pPr>
            <w:r w:rsidRPr="008B7479">
              <w:t xml:space="preserve">Витрачання на оплату зобов’язань  з податків і зборів  </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316</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401</w:t>
            </w:r>
          </w:p>
        </w:tc>
      </w:tr>
      <w:tr w:rsidR="002A2140" w:rsidRPr="008B7479" w:rsidTr="000C670C">
        <w:trPr>
          <w:trHeight w:val="376"/>
        </w:trPr>
        <w:tc>
          <w:tcPr>
            <w:tcW w:w="6379" w:type="dxa"/>
            <w:tcBorders>
              <w:top w:val="single" w:sz="4" w:space="0" w:color="auto"/>
              <w:left w:val="single" w:sz="4" w:space="0" w:color="auto"/>
            </w:tcBorders>
            <w:shd w:val="clear" w:color="auto" w:fill="FFFFFF"/>
            <w:vAlign w:val="bottom"/>
          </w:tcPr>
          <w:p w:rsidR="002A2140" w:rsidRPr="008B7479" w:rsidRDefault="002A2140" w:rsidP="002A2140">
            <w:pPr>
              <w:jc w:val="both"/>
            </w:pPr>
            <w:r w:rsidRPr="008B7479">
              <w:t xml:space="preserve">Витрачання фінансових установ на надання позик  </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16 933</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14 893</w:t>
            </w:r>
          </w:p>
        </w:tc>
      </w:tr>
      <w:tr w:rsidR="002A2140" w:rsidRPr="008B7479" w:rsidTr="000C670C">
        <w:trPr>
          <w:trHeight w:val="376"/>
        </w:trPr>
        <w:tc>
          <w:tcPr>
            <w:tcW w:w="6379" w:type="dxa"/>
            <w:tcBorders>
              <w:top w:val="single" w:sz="4" w:space="0" w:color="auto"/>
              <w:left w:val="single" w:sz="4" w:space="0" w:color="auto"/>
            </w:tcBorders>
            <w:shd w:val="clear" w:color="auto" w:fill="FFFFFF"/>
          </w:tcPr>
          <w:p w:rsidR="002A2140" w:rsidRPr="008B7479" w:rsidRDefault="002A2140" w:rsidP="002A2140">
            <w:pPr>
              <w:jc w:val="both"/>
            </w:pPr>
            <w:r w:rsidRPr="008B7479">
              <w:t>Інші витрачання</w:t>
            </w:r>
          </w:p>
        </w:tc>
        <w:tc>
          <w:tcPr>
            <w:tcW w:w="1630" w:type="dxa"/>
            <w:tcBorders>
              <w:top w:val="single" w:sz="4" w:space="0" w:color="auto"/>
              <w:left w:val="single" w:sz="4" w:space="0" w:color="auto"/>
            </w:tcBorders>
            <w:shd w:val="clear" w:color="auto" w:fill="FFFFFF"/>
          </w:tcPr>
          <w:p w:rsidR="002A2140" w:rsidRPr="00F31920" w:rsidRDefault="002A2140" w:rsidP="002A2140">
            <w:pPr>
              <w:jc w:val="center"/>
              <w:rPr>
                <w:lang w:val="uk-UA"/>
              </w:rPr>
            </w:pPr>
            <w:r>
              <w:rPr>
                <w:lang w:val="uk-UA"/>
              </w:rPr>
              <w:t>1 157</w:t>
            </w:r>
          </w:p>
        </w:tc>
        <w:tc>
          <w:tcPr>
            <w:tcW w:w="1630" w:type="dxa"/>
            <w:tcBorders>
              <w:top w:val="single" w:sz="4" w:space="0" w:color="auto"/>
              <w:left w:val="single" w:sz="4" w:space="0" w:color="auto"/>
              <w:right w:val="single" w:sz="4" w:space="0" w:color="auto"/>
            </w:tcBorders>
            <w:shd w:val="clear" w:color="auto" w:fill="FFFFFF"/>
          </w:tcPr>
          <w:p w:rsidR="002A2140" w:rsidRPr="00F31920" w:rsidRDefault="002A2140" w:rsidP="002A2140">
            <w:pPr>
              <w:jc w:val="center"/>
              <w:rPr>
                <w:lang w:val="uk-UA"/>
              </w:rPr>
            </w:pPr>
            <w:r>
              <w:rPr>
                <w:lang w:val="uk-UA"/>
              </w:rPr>
              <w:t>2 018</w:t>
            </w:r>
          </w:p>
        </w:tc>
      </w:tr>
      <w:tr w:rsidR="002A2140" w:rsidRPr="00006C60" w:rsidTr="000C670C">
        <w:trPr>
          <w:trHeight w:val="376"/>
        </w:trPr>
        <w:tc>
          <w:tcPr>
            <w:tcW w:w="6379" w:type="dxa"/>
            <w:tcBorders>
              <w:top w:val="single" w:sz="4" w:space="0" w:color="auto"/>
              <w:left w:val="single" w:sz="4" w:space="0" w:color="auto"/>
              <w:bottom w:val="single" w:sz="4" w:space="0" w:color="auto"/>
            </w:tcBorders>
            <w:shd w:val="clear" w:color="auto" w:fill="FFFFFF"/>
          </w:tcPr>
          <w:p w:rsidR="002A2140" w:rsidRPr="00006C60" w:rsidRDefault="002A2140" w:rsidP="002A2140">
            <w:pPr>
              <w:jc w:val="both"/>
              <w:rPr>
                <w:b/>
              </w:rPr>
            </w:pPr>
            <w:r w:rsidRPr="00006C60">
              <w:rPr>
                <w:b/>
              </w:rPr>
              <w:t>Разом  витрачань</w:t>
            </w:r>
          </w:p>
        </w:tc>
        <w:tc>
          <w:tcPr>
            <w:tcW w:w="1630" w:type="dxa"/>
            <w:tcBorders>
              <w:top w:val="single" w:sz="4" w:space="0" w:color="auto"/>
              <w:left w:val="single" w:sz="4" w:space="0" w:color="auto"/>
              <w:bottom w:val="single" w:sz="4" w:space="0" w:color="auto"/>
            </w:tcBorders>
            <w:shd w:val="clear" w:color="auto" w:fill="FFFFFF"/>
          </w:tcPr>
          <w:p w:rsidR="002A2140" w:rsidRPr="00F31920" w:rsidRDefault="002A2140" w:rsidP="002A2140">
            <w:pPr>
              <w:jc w:val="center"/>
              <w:rPr>
                <w:b/>
                <w:lang w:val="uk-UA"/>
              </w:rPr>
            </w:pPr>
            <w:r>
              <w:rPr>
                <w:b/>
                <w:lang w:val="uk-UA"/>
              </w:rPr>
              <w:t>21 405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2A2140" w:rsidRPr="00F31920" w:rsidRDefault="002A2140" w:rsidP="009A40CF">
            <w:pPr>
              <w:jc w:val="center"/>
              <w:rPr>
                <w:b/>
                <w:lang w:val="uk-UA"/>
              </w:rPr>
            </w:pPr>
            <w:r>
              <w:rPr>
                <w:b/>
                <w:lang w:val="uk-UA"/>
              </w:rPr>
              <w:t>2</w:t>
            </w:r>
            <w:r w:rsidR="009A40CF">
              <w:rPr>
                <w:b/>
                <w:lang w:val="uk-UA"/>
              </w:rPr>
              <w:t>0</w:t>
            </w:r>
            <w:r>
              <w:rPr>
                <w:b/>
                <w:lang w:val="uk-UA"/>
              </w:rPr>
              <w:t xml:space="preserve"> </w:t>
            </w:r>
            <w:r w:rsidR="009A40CF">
              <w:rPr>
                <w:b/>
                <w:lang w:val="uk-UA"/>
              </w:rPr>
              <w:t>816</w:t>
            </w:r>
          </w:p>
        </w:tc>
      </w:tr>
    </w:tbl>
    <w:p w:rsidR="001B2214" w:rsidRDefault="001B2214" w:rsidP="001B2214">
      <w:pPr>
        <w:jc w:val="both"/>
        <w:rPr>
          <w:bCs/>
          <w:lang w:val="uk-UA"/>
        </w:rPr>
      </w:pPr>
      <w:r>
        <w:rPr>
          <w:bCs/>
          <w:lang w:val="uk-UA"/>
        </w:rPr>
        <w:t>Чистий рух гро</w:t>
      </w:r>
      <w:r w:rsidR="006504B7">
        <w:rPr>
          <w:bCs/>
          <w:lang w:val="uk-UA"/>
        </w:rPr>
        <w:t>шових коштів</w:t>
      </w:r>
      <w:r w:rsidR="009A40CF">
        <w:rPr>
          <w:bCs/>
          <w:lang w:val="uk-UA"/>
        </w:rPr>
        <w:t xml:space="preserve"> за 2021</w:t>
      </w:r>
      <w:r w:rsidR="006504B7">
        <w:rPr>
          <w:bCs/>
          <w:lang w:val="uk-UA"/>
        </w:rPr>
        <w:t xml:space="preserve">р. склав </w:t>
      </w:r>
      <w:r w:rsidR="009A40CF">
        <w:rPr>
          <w:bCs/>
          <w:lang w:val="uk-UA"/>
        </w:rPr>
        <w:t>0</w:t>
      </w:r>
      <w:r>
        <w:rPr>
          <w:bCs/>
          <w:lang w:val="uk-UA"/>
        </w:rPr>
        <w:t xml:space="preserve"> тис.</w:t>
      </w:r>
      <w:r w:rsidR="00F31920">
        <w:rPr>
          <w:bCs/>
          <w:lang w:val="uk-UA"/>
        </w:rPr>
        <w:t xml:space="preserve"> </w:t>
      </w:r>
      <w:r>
        <w:rPr>
          <w:bCs/>
          <w:lang w:val="uk-UA"/>
        </w:rPr>
        <w:t xml:space="preserve">грн. </w:t>
      </w:r>
    </w:p>
    <w:p w:rsidR="00571D5E" w:rsidRPr="00372377" w:rsidRDefault="00372377" w:rsidP="00571D5E">
      <w:pPr>
        <w:jc w:val="both"/>
        <w:rPr>
          <w:bCs/>
          <w:iCs/>
          <w:color w:val="000000" w:themeColor="text1"/>
          <w:sz w:val="22"/>
          <w:szCs w:val="22"/>
          <w:lang w:val="uk-UA" w:eastAsia="en-US"/>
        </w:rPr>
      </w:pPr>
      <w:r>
        <w:rPr>
          <w:bCs/>
          <w:iCs/>
          <w:color w:val="000000" w:themeColor="text1"/>
          <w:sz w:val="22"/>
          <w:szCs w:val="22"/>
          <w:lang w:val="uk-UA" w:eastAsia="en-US"/>
        </w:rPr>
        <w:t>Інші витрачання включають повернення поворотньої безвідсоткової фінансової допомоги.</w:t>
      </w:r>
    </w:p>
    <w:p w:rsidR="001B2214" w:rsidRDefault="001B2214" w:rsidP="001B2214">
      <w:pPr>
        <w:jc w:val="both"/>
        <w:rPr>
          <w:smallCaps/>
          <w:lang w:val="uk-UA"/>
        </w:rPr>
      </w:pPr>
    </w:p>
    <w:p w:rsidR="001B2214" w:rsidRPr="00CE1799" w:rsidRDefault="001B2214" w:rsidP="001B2214">
      <w:pPr>
        <w:rPr>
          <w:b/>
          <w:lang w:val="uk-UA"/>
        </w:rPr>
      </w:pPr>
      <w:r w:rsidRPr="00CE1799">
        <w:rPr>
          <w:b/>
          <w:lang w:val="uk-UA"/>
        </w:rPr>
        <w:t xml:space="preserve">7.4. Звіт про власний капітал </w:t>
      </w:r>
    </w:p>
    <w:p w:rsidR="001B2214" w:rsidRDefault="001B2214" w:rsidP="001B2214">
      <w:pPr>
        <w:jc w:val="both"/>
      </w:pPr>
      <w:r w:rsidRPr="008B7479">
        <w:t xml:space="preserve">В Звіті про власний капітал </w:t>
      </w:r>
      <w:r w:rsidRPr="008B7479">
        <w:rPr>
          <w:lang w:val="uk-UA"/>
        </w:rPr>
        <w:t xml:space="preserve">Товариство </w:t>
      </w:r>
      <w:r w:rsidRPr="008B7479">
        <w:t xml:space="preserve">відображає рух власного капіталу в розрізі складових капіталу, </w:t>
      </w:r>
      <w:r>
        <w:rPr>
          <w:lang w:val="uk-UA"/>
        </w:rPr>
        <w:t xml:space="preserve">визнаного відповідно до </w:t>
      </w:r>
      <w:r>
        <w:t>МСФЗ:</w:t>
      </w:r>
    </w:p>
    <w:p w:rsidR="001B2214" w:rsidRPr="00961C4F" w:rsidRDefault="001B2214" w:rsidP="001B2214">
      <w:pPr>
        <w:jc w:val="right"/>
        <w:rPr>
          <w:lang w:val="uk-UA"/>
        </w:rPr>
      </w:pPr>
      <w:r w:rsidRPr="008B7479">
        <w:rPr>
          <w:lang w:val="uk-UA"/>
        </w:rPr>
        <w:t>тис. грн.</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0"/>
        <w:gridCol w:w="1701"/>
        <w:gridCol w:w="1498"/>
      </w:tblGrid>
      <w:tr w:rsidR="000C670C" w:rsidRPr="00682EFB" w:rsidTr="000C670C">
        <w:trPr>
          <w:trHeight w:val="352"/>
          <w:jc w:val="center"/>
        </w:trPr>
        <w:tc>
          <w:tcPr>
            <w:tcW w:w="6320" w:type="dxa"/>
          </w:tcPr>
          <w:p w:rsidR="000C670C" w:rsidRPr="00D80AC6" w:rsidRDefault="000C670C" w:rsidP="000C670C">
            <w:pPr>
              <w:jc w:val="both"/>
              <w:rPr>
                <w:lang w:val="uk-UA" w:eastAsia="en-US"/>
              </w:rPr>
            </w:pPr>
          </w:p>
        </w:tc>
        <w:tc>
          <w:tcPr>
            <w:tcW w:w="1701" w:type="dxa"/>
          </w:tcPr>
          <w:p w:rsidR="000C670C" w:rsidRPr="00F83824" w:rsidRDefault="009A40CF" w:rsidP="000C670C">
            <w:pPr>
              <w:autoSpaceDE w:val="0"/>
              <w:autoSpaceDN w:val="0"/>
              <w:adjustRightInd w:val="0"/>
              <w:ind w:right="10" w:hanging="6"/>
              <w:jc w:val="center"/>
              <w:rPr>
                <w:b/>
                <w:lang w:val="uk-UA"/>
              </w:rPr>
            </w:pPr>
            <w:r>
              <w:rPr>
                <w:b/>
                <w:lang w:val="uk-UA"/>
              </w:rPr>
              <w:t>31.12.2020</w:t>
            </w:r>
          </w:p>
        </w:tc>
        <w:tc>
          <w:tcPr>
            <w:tcW w:w="1498" w:type="dxa"/>
          </w:tcPr>
          <w:p w:rsidR="000C670C" w:rsidRPr="00F83824" w:rsidRDefault="009A40CF" w:rsidP="000C670C">
            <w:pPr>
              <w:autoSpaceDE w:val="0"/>
              <w:autoSpaceDN w:val="0"/>
              <w:adjustRightInd w:val="0"/>
              <w:ind w:right="10" w:hanging="6"/>
              <w:jc w:val="center"/>
              <w:rPr>
                <w:b/>
                <w:lang w:val="uk-UA"/>
              </w:rPr>
            </w:pPr>
            <w:r>
              <w:rPr>
                <w:b/>
                <w:lang w:val="uk-UA"/>
              </w:rPr>
              <w:t>31.12.2021</w:t>
            </w:r>
          </w:p>
        </w:tc>
      </w:tr>
      <w:tr w:rsidR="009A40CF" w:rsidRPr="00682EFB" w:rsidTr="000C670C">
        <w:trPr>
          <w:trHeight w:val="352"/>
          <w:jc w:val="center"/>
        </w:trPr>
        <w:tc>
          <w:tcPr>
            <w:tcW w:w="6320" w:type="dxa"/>
          </w:tcPr>
          <w:p w:rsidR="009A40CF" w:rsidRPr="00D80AC6" w:rsidRDefault="009A40CF" w:rsidP="009A40CF">
            <w:pPr>
              <w:jc w:val="both"/>
              <w:rPr>
                <w:bCs/>
                <w:iCs/>
                <w:lang w:val="uk-UA" w:eastAsia="en-US"/>
              </w:rPr>
            </w:pPr>
            <w:r w:rsidRPr="00D80AC6">
              <w:rPr>
                <w:bCs/>
                <w:iCs/>
                <w:lang w:val="uk-UA" w:eastAsia="en-US"/>
              </w:rPr>
              <w:t>Складений капітал</w:t>
            </w:r>
          </w:p>
        </w:tc>
        <w:tc>
          <w:tcPr>
            <w:tcW w:w="1701" w:type="dxa"/>
          </w:tcPr>
          <w:p w:rsidR="009A40CF" w:rsidRPr="00D80AC6" w:rsidRDefault="009A40CF" w:rsidP="009A40CF">
            <w:pPr>
              <w:jc w:val="center"/>
              <w:rPr>
                <w:lang w:val="uk-UA" w:eastAsia="en-US"/>
              </w:rPr>
            </w:pPr>
            <w:r>
              <w:rPr>
                <w:lang w:val="uk-UA" w:eastAsia="en-US"/>
              </w:rPr>
              <w:t>1 500</w:t>
            </w:r>
          </w:p>
        </w:tc>
        <w:tc>
          <w:tcPr>
            <w:tcW w:w="1498" w:type="dxa"/>
          </w:tcPr>
          <w:p w:rsidR="009A40CF" w:rsidRPr="00D80AC6" w:rsidRDefault="009A40CF" w:rsidP="009A40CF">
            <w:pPr>
              <w:jc w:val="center"/>
              <w:rPr>
                <w:lang w:val="uk-UA" w:eastAsia="en-US"/>
              </w:rPr>
            </w:pPr>
            <w:r>
              <w:rPr>
                <w:lang w:val="uk-UA" w:eastAsia="en-US"/>
              </w:rPr>
              <w:t>1 500</w:t>
            </w:r>
          </w:p>
        </w:tc>
      </w:tr>
      <w:tr w:rsidR="009A40CF" w:rsidRPr="00682EFB" w:rsidTr="000C670C">
        <w:trPr>
          <w:trHeight w:val="352"/>
          <w:jc w:val="center"/>
        </w:trPr>
        <w:tc>
          <w:tcPr>
            <w:tcW w:w="6320" w:type="dxa"/>
          </w:tcPr>
          <w:p w:rsidR="009A40CF" w:rsidRPr="00D80AC6" w:rsidRDefault="009A40CF" w:rsidP="009A40CF">
            <w:pPr>
              <w:jc w:val="both"/>
              <w:rPr>
                <w:lang w:val="uk-UA" w:eastAsia="en-US"/>
              </w:rPr>
            </w:pPr>
            <w:r w:rsidRPr="00D80AC6">
              <w:rPr>
                <w:lang w:val="uk-UA" w:eastAsia="en-US"/>
              </w:rPr>
              <w:t>Резервний капітал</w:t>
            </w:r>
          </w:p>
        </w:tc>
        <w:tc>
          <w:tcPr>
            <w:tcW w:w="1701" w:type="dxa"/>
          </w:tcPr>
          <w:p w:rsidR="009A40CF" w:rsidRPr="00D80AC6" w:rsidRDefault="009A40CF" w:rsidP="009A40CF">
            <w:pPr>
              <w:jc w:val="center"/>
              <w:rPr>
                <w:lang w:val="uk-UA" w:eastAsia="en-US"/>
              </w:rPr>
            </w:pPr>
            <w:r>
              <w:rPr>
                <w:lang w:val="uk-UA" w:eastAsia="en-US"/>
              </w:rPr>
              <w:t>38</w:t>
            </w:r>
          </w:p>
        </w:tc>
        <w:tc>
          <w:tcPr>
            <w:tcW w:w="1498" w:type="dxa"/>
          </w:tcPr>
          <w:p w:rsidR="009A40CF" w:rsidRPr="00D80AC6" w:rsidRDefault="009A40CF" w:rsidP="009A40CF">
            <w:pPr>
              <w:jc w:val="center"/>
              <w:rPr>
                <w:lang w:val="uk-UA" w:eastAsia="en-US"/>
              </w:rPr>
            </w:pPr>
            <w:r>
              <w:rPr>
                <w:lang w:val="uk-UA" w:eastAsia="en-US"/>
              </w:rPr>
              <w:t>48</w:t>
            </w:r>
          </w:p>
        </w:tc>
      </w:tr>
      <w:tr w:rsidR="009A40CF" w:rsidRPr="00682EFB" w:rsidTr="000C670C">
        <w:trPr>
          <w:trHeight w:val="352"/>
          <w:jc w:val="center"/>
        </w:trPr>
        <w:tc>
          <w:tcPr>
            <w:tcW w:w="6320" w:type="dxa"/>
          </w:tcPr>
          <w:p w:rsidR="009A40CF" w:rsidRPr="00D80AC6" w:rsidRDefault="009A40CF" w:rsidP="009A40CF">
            <w:pPr>
              <w:jc w:val="both"/>
              <w:rPr>
                <w:lang w:val="uk-UA" w:eastAsia="en-US"/>
              </w:rPr>
            </w:pPr>
            <w:r w:rsidRPr="00D80AC6">
              <w:rPr>
                <w:lang w:val="uk-UA" w:eastAsia="en-US"/>
              </w:rPr>
              <w:t>В т.ч. нарахований резервний капітал</w:t>
            </w:r>
          </w:p>
        </w:tc>
        <w:tc>
          <w:tcPr>
            <w:tcW w:w="1701" w:type="dxa"/>
          </w:tcPr>
          <w:p w:rsidR="009A40CF" w:rsidRPr="00D80AC6" w:rsidRDefault="009A40CF" w:rsidP="009A40CF">
            <w:pPr>
              <w:jc w:val="center"/>
              <w:rPr>
                <w:lang w:val="uk-UA" w:eastAsia="en-US"/>
              </w:rPr>
            </w:pPr>
            <w:r>
              <w:rPr>
                <w:lang w:val="uk-UA" w:eastAsia="en-US"/>
              </w:rPr>
              <w:t>7</w:t>
            </w:r>
          </w:p>
        </w:tc>
        <w:tc>
          <w:tcPr>
            <w:tcW w:w="1498" w:type="dxa"/>
          </w:tcPr>
          <w:p w:rsidR="009A40CF" w:rsidRPr="00D80AC6" w:rsidRDefault="009A40CF" w:rsidP="009A40CF">
            <w:pPr>
              <w:jc w:val="center"/>
              <w:rPr>
                <w:lang w:val="uk-UA" w:eastAsia="en-US"/>
              </w:rPr>
            </w:pPr>
            <w:r>
              <w:rPr>
                <w:lang w:val="uk-UA" w:eastAsia="en-US"/>
              </w:rPr>
              <w:t>10</w:t>
            </w:r>
          </w:p>
        </w:tc>
      </w:tr>
      <w:tr w:rsidR="009A40CF" w:rsidRPr="00682EFB" w:rsidTr="000C670C">
        <w:trPr>
          <w:trHeight w:val="352"/>
          <w:jc w:val="center"/>
        </w:trPr>
        <w:tc>
          <w:tcPr>
            <w:tcW w:w="6320" w:type="dxa"/>
          </w:tcPr>
          <w:p w:rsidR="009A40CF" w:rsidRPr="00D80AC6" w:rsidRDefault="009A40CF" w:rsidP="009A40CF">
            <w:pPr>
              <w:jc w:val="both"/>
              <w:rPr>
                <w:lang w:val="uk-UA" w:eastAsia="en-US"/>
              </w:rPr>
            </w:pPr>
            <w:r w:rsidRPr="00D80AC6">
              <w:rPr>
                <w:lang w:val="uk-UA" w:eastAsia="en-US"/>
              </w:rPr>
              <w:t>Нерозподілений прибуток (збиток)</w:t>
            </w:r>
          </w:p>
        </w:tc>
        <w:tc>
          <w:tcPr>
            <w:tcW w:w="1701" w:type="dxa"/>
          </w:tcPr>
          <w:p w:rsidR="009A40CF" w:rsidRPr="00D80AC6" w:rsidRDefault="009A40CF" w:rsidP="009A40CF">
            <w:pPr>
              <w:jc w:val="center"/>
              <w:rPr>
                <w:lang w:val="uk-UA" w:eastAsia="en-US"/>
              </w:rPr>
            </w:pPr>
            <w:r>
              <w:rPr>
                <w:lang w:val="uk-UA" w:eastAsia="en-US"/>
              </w:rPr>
              <w:t>674</w:t>
            </w:r>
          </w:p>
        </w:tc>
        <w:tc>
          <w:tcPr>
            <w:tcW w:w="1498" w:type="dxa"/>
          </w:tcPr>
          <w:p w:rsidR="009A40CF" w:rsidRPr="00D80AC6" w:rsidRDefault="002D1B46" w:rsidP="009A40CF">
            <w:pPr>
              <w:jc w:val="center"/>
              <w:rPr>
                <w:lang w:val="uk-UA" w:eastAsia="en-US"/>
              </w:rPr>
            </w:pPr>
            <w:r>
              <w:rPr>
                <w:lang w:val="uk-UA" w:eastAsia="en-US"/>
              </w:rPr>
              <w:t>860</w:t>
            </w:r>
          </w:p>
        </w:tc>
      </w:tr>
      <w:tr w:rsidR="009A40CF" w:rsidRPr="00682EFB" w:rsidTr="000C670C">
        <w:trPr>
          <w:trHeight w:val="352"/>
          <w:jc w:val="center"/>
        </w:trPr>
        <w:tc>
          <w:tcPr>
            <w:tcW w:w="6320" w:type="dxa"/>
          </w:tcPr>
          <w:p w:rsidR="009A40CF" w:rsidRPr="00D80AC6" w:rsidRDefault="009A40CF" w:rsidP="009A40CF">
            <w:pPr>
              <w:jc w:val="both"/>
              <w:rPr>
                <w:lang w:val="uk-UA" w:eastAsia="en-US"/>
              </w:rPr>
            </w:pPr>
            <w:r w:rsidRPr="00D80AC6">
              <w:rPr>
                <w:lang w:val="uk-UA" w:eastAsia="en-US"/>
              </w:rPr>
              <w:t>В т.ч. отриманий прибуток після оподаткування за рік</w:t>
            </w:r>
          </w:p>
        </w:tc>
        <w:tc>
          <w:tcPr>
            <w:tcW w:w="1701" w:type="dxa"/>
          </w:tcPr>
          <w:p w:rsidR="009A40CF" w:rsidRPr="00D80AC6" w:rsidRDefault="009A40CF" w:rsidP="009A40CF">
            <w:pPr>
              <w:jc w:val="center"/>
              <w:rPr>
                <w:lang w:val="uk-UA" w:eastAsia="en-US"/>
              </w:rPr>
            </w:pPr>
            <w:r>
              <w:rPr>
                <w:lang w:val="uk-UA" w:eastAsia="en-US"/>
              </w:rPr>
              <w:t>93</w:t>
            </w:r>
          </w:p>
        </w:tc>
        <w:tc>
          <w:tcPr>
            <w:tcW w:w="1498" w:type="dxa"/>
          </w:tcPr>
          <w:p w:rsidR="009A40CF" w:rsidRPr="00D80AC6" w:rsidRDefault="009A40CF" w:rsidP="009A40CF">
            <w:pPr>
              <w:jc w:val="center"/>
              <w:rPr>
                <w:lang w:val="uk-UA" w:eastAsia="en-US"/>
              </w:rPr>
            </w:pPr>
            <w:r>
              <w:rPr>
                <w:lang w:val="uk-UA" w:eastAsia="en-US"/>
              </w:rPr>
              <w:t>195</w:t>
            </w:r>
          </w:p>
        </w:tc>
      </w:tr>
      <w:tr w:rsidR="009A40CF" w:rsidRPr="00682EFB" w:rsidTr="000C670C">
        <w:trPr>
          <w:trHeight w:val="352"/>
          <w:jc w:val="center"/>
        </w:trPr>
        <w:tc>
          <w:tcPr>
            <w:tcW w:w="6320" w:type="dxa"/>
          </w:tcPr>
          <w:p w:rsidR="009A40CF" w:rsidRPr="00D80AC6" w:rsidRDefault="009A40CF" w:rsidP="009A40CF">
            <w:pPr>
              <w:jc w:val="both"/>
              <w:rPr>
                <w:lang w:val="uk-UA" w:eastAsia="en-US"/>
              </w:rPr>
            </w:pPr>
            <w:r w:rsidRPr="00D80AC6">
              <w:rPr>
                <w:lang w:val="uk-UA" w:eastAsia="en-US"/>
              </w:rPr>
              <w:t>Неоплачений капітал</w:t>
            </w:r>
          </w:p>
        </w:tc>
        <w:tc>
          <w:tcPr>
            <w:tcW w:w="1701" w:type="dxa"/>
          </w:tcPr>
          <w:p w:rsidR="009A40CF" w:rsidRPr="00D80AC6" w:rsidRDefault="009A40CF" w:rsidP="009A40CF">
            <w:pPr>
              <w:jc w:val="center"/>
              <w:rPr>
                <w:lang w:val="uk-UA" w:eastAsia="en-US"/>
              </w:rPr>
            </w:pPr>
            <w:r>
              <w:rPr>
                <w:lang w:val="uk-UA" w:eastAsia="en-US"/>
              </w:rPr>
              <w:t>(412)</w:t>
            </w:r>
          </w:p>
        </w:tc>
        <w:tc>
          <w:tcPr>
            <w:tcW w:w="1498" w:type="dxa"/>
          </w:tcPr>
          <w:p w:rsidR="009A40CF" w:rsidRPr="00D80AC6" w:rsidRDefault="009A40CF" w:rsidP="009A40CF">
            <w:pPr>
              <w:jc w:val="center"/>
              <w:rPr>
                <w:lang w:val="uk-UA" w:eastAsia="en-US"/>
              </w:rPr>
            </w:pPr>
            <w:r>
              <w:rPr>
                <w:lang w:val="uk-UA" w:eastAsia="en-US"/>
              </w:rPr>
              <w:t>(412)</w:t>
            </w:r>
          </w:p>
        </w:tc>
      </w:tr>
      <w:tr w:rsidR="009A40CF" w:rsidRPr="00CE1799" w:rsidTr="000C670C">
        <w:trPr>
          <w:trHeight w:val="352"/>
          <w:jc w:val="center"/>
        </w:trPr>
        <w:tc>
          <w:tcPr>
            <w:tcW w:w="6320" w:type="dxa"/>
          </w:tcPr>
          <w:p w:rsidR="009A40CF" w:rsidRPr="00CE1799" w:rsidRDefault="009A40CF" w:rsidP="009A40CF">
            <w:pPr>
              <w:jc w:val="both"/>
              <w:rPr>
                <w:b/>
                <w:bCs/>
                <w:iCs/>
                <w:lang w:val="uk-UA" w:eastAsia="en-US"/>
              </w:rPr>
            </w:pPr>
            <w:r w:rsidRPr="00CE1799">
              <w:rPr>
                <w:b/>
                <w:bCs/>
                <w:iCs/>
                <w:lang w:val="uk-UA" w:eastAsia="en-US"/>
              </w:rPr>
              <w:t>Всього власний капітал</w:t>
            </w:r>
          </w:p>
        </w:tc>
        <w:tc>
          <w:tcPr>
            <w:tcW w:w="1701" w:type="dxa"/>
          </w:tcPr>
          <w:p w:rsidR="009A40CF" w:rsidRPr="00CE1799" w:rsidRDefault="009A40CF" w:rsidP="009A40CF">
            <w:pPr>
              <w:jc w:val="center"/>
              <w:rPr>
                <w:b/>
                <w:lang w:val="uk-UA" w:eastAsia="en-US"/>
              </w:rPr>
            </w:pPr>
            <w:r>
              <w:rPr>
                <w:b/>
                <w:lang w:val="uk-UA" w:eastAsia="en-US"/>
              </w:rPr>
              <w:t>1  801</w:t>
            </w:r>
          </w:p>
        </w:tc>
        <w:tc>
          <w:tcPr>
            <w:tcW w:w="1498" w:type="dxa"/>
          </w:tcPr>
          <w:p w:rsidR="009A40CF" w:rsidRPr="00CE1799" w:rsidRDefault="009A40CF" w:rsidP="002D1B46">
            <w:pPr>
              <w:jc w:val="center"/>
              <w:rPr>
                <w:b/>
                <w:lang w:val="uk-UA" w:eastAsia="en-US"/>
              </w:rPr>
            </w:pPr>
            <w:r>
              <w:rPr>
                <w:b/>
                <w:lang w:val="uk-UA" w:eastAsia="en-US"/>
              </w:rPr>
              <w:t xml:space="preserve">1  </w:t>
            </w:r>
            <w:r w:rsidR="002D1B46">
              <w:rPr>
                <w:b/>
                <w:lang w:val="uk-UA" w:eastAsia="en-US"/>
              </w:rPr>
              <w:t>996</w:t>
            </w:r>
          </w:p>
        </w:tc>
      </w:tr>
    </w:tbl>
    <w:p w:rsidR="00A820B0" w:rsidRPr="00E577B5" w:rsidRDefault="00A820B0" w:rsidP="00A820B0">
      <w:pPr>
        <w:spacing w:before="120" w:after="120"/>
        <w:jc w:val="both"/>
        <w:rPr>
          <w:b/>
          <w:smallCaps/>
          <w:lang w:val="uk-UA"/>
        </w:rPr>
      </w:pPr>
      <w:r w:rsidRPr="00E577B5">
        <w:rPr>
          <w:b/>
          <w:smallCaps/>
          <w:lang w:val="uk-UA"/>
        </w:rPr>
        <w:t>8. Характер та ступінь ризиків, що виникають у зв’язку з фінансовими інструментами</w:t>
      </w:r>
    </w:p>
    <w:p w:rsidR="00A820B0" w:rsidRPr="00E577B5" w:rsidRDefault="00A820B0" w:rsidP="00A820B0">
      <w:pPr>
        <w:spacing w:before="120" w:after="120"/>
        <w:jc w:val="both"/>
        <w:rPr>
          <w:lang w:val="uk-UA"/>
        </w:rPr>
      </w:pPr>
      <w:r w:rsidRPr="00E577B5">
        <w:rPr>
          <w:lang w:val="uk-UA"/>
        </w:rPr>
        <w:t xml:space="preserve">Основні фінансові інструменти Товариства включають процентні кредити та позики, грошові кошти та їх еквіваленти та інші оборотні фінансові активи. Товариство має різні інші фінансові інструменти, як, наприклад кредиторська і дебіторська заборгованість, які виникають безпосередньо в ході її операційної діяльності. </w:t>
      </w:r>
    </w:p>
    <w:p w:rsidR="00A820B0" w:rsidRPr="00E577B5" w:rsidRDefault="00A820B0" w:rsidP="00A820B0">
      <w:pPr>
        <w:spacing w:before="120" w:after="120"/>
        <w:jc w:val="both"/>
        <w:rPr>
          <w:lang w:val="uk-UA"/>
        </w:rPr>
      </w:pPr>
      <w:r w:rsidRPr="00E577B5">
        <w:rPr>
          <w:lang w:val="uk-UA"/>
        </w:rPr>
        <w:t>Політика Товариства не передбачає торгівлі фінансовими інструментами. Товариству властиві кредитний ризик, ризик ліквідності і ринковий ризик.</w:t>
      </w:r>
    </w:p>
    <w:p w:rsidR="00A820B0" w:rsidRPr="00E577B5" w:rsidRDefault="00A820B0" w:rsidP="00A820B0">
      <w:pPr>
        <w:spacing w:before="120" w:after="120"/>
        <w:jc w:val="both"/>
        <w:rPr>
          <w:lang w:val="uk-UA"/>
        </w:rPr>
      </w:pPr>
      <w:r w:rsidRPr="00E577B5">
        <w:rPr>
          <w:lang w:val="uk-UA"/>
        </w:rPr>
        <w:t xml:space="preserve">Загальна програма управління ризиками сконцентрована на непередбачуваності та неефективності фінансового ринку України, і спрямована на зменшення його потенційного </w:t>
      </w:r>
      <w:r w:rsidRPr="00E577B5">
        <w:rPr>
          <w:lang w:val="uk-UA"/>
        </w:rPr>
        <w:lastRenderedPageBreak/>
        <w:t xml:space="preserve">негативного впливу на фінансовий стан Товариства. </w:t>
      </w:r>
    </w:p>
    <w:p w:rsidR="00A820B0" w:rsidRPr="00E577B5" w:rsidRDefault="00A820B0" w:rsidP="00A820B0">
      <w:pPr>
        <w:spacing w:before="120" w:after="120"/>
        <w:jc w:val="both"/>
        <w:rPr>
          <w:lang w:val="uk-UA"/>
        </w:rPr>
      </w:pPr>
      <w:r w:rsidRPr="00E577B5">
        <w:rPr>
          <w:lang w:val="uk-UA"/>
        </w:rPr>
        <w:t>Підходи до управління кожним із цих ризиків представлені нижче.</w:t>
      </w:r>
    </w:p>
    <w:p w:rsidR="00A820B0" w:rsidRPr="00E577B5" w:rsidRDefault="00A820B0" w:rsidP="00A820B0">
      <w:pPr>
        <w:spacing w:before="120" w:after="120"/>
        <w:jc w:val="both"/>
        <w:rPr>
          <w:i/>
          <w:iCs/>
          <w:lang w:val="uk-UA"/>
        </w:rPr>
      </w:pPr>
      <w:r w:rsidRPr="00E577B5">
        <w:rPr>
          <w:i/>
          <w:iCs/>
          <w:lang w:val="uk-UA"/>
        </w:rPr>
        <w:t>Ринковий ризик</w:t>
      </w:r>
    </w:p>
    <w:p w:rsidR="00A820B0" w:rsidRPr="00E577B5" w:rsidRDefault="00A820B0" w:rsidP="00A820B0">
      <w:pPr>
        <w:shd w:val="clear" w:color="auto" w:fill="FFFFFF"/>
        <w:spacing w:before="120" w:after="120"/>
        <w:jc w:val="both"/>
        <w:rPr>
          <w:lang w:val="uk-UA"/>
        </w:rPr>
      </w:pPr>
      <w:r w:rsidRPr="00E577B5">
        <w:rPr>
          <w:lang w:val="uk-UA"/>
        </w:rPr>
        <w:t xml:space="preserve">Ринковий ризик – це ризик того, що справедлива вартість майбутніх грошових потоків за фінансовим інструментом коливатиметься внаслідок змін ринкових цін. Ринкові ціни містять у собі три типи ризику: ризик зміни процентної ставки, валютний ризик та інші цінові ризики. Основними для Товариства є ризик зміни процентної ставки, та цінові ризики. Також одним з найсуттєвіших ризиків є </w:t>
      </w:r>
      <w:r w:rsidRPr="00E577B5">
        <w:rPr>
          <w:rStyle w:val="af9"/>
          <w:b w:val="0"/>
          <w:color w:val="000000"/>
          <w:bdr w:val="none" w:sz="0" w:space="0" w:color="auto" w:frame="1"/>
          <w:lang w:val="uk-UA"/>
        </w:rPr>
        <w:t>коливання цін на дорогоцінні метали та зменшення відсоткової ставки по кредитам в зв’язку з підвищенням рівня конкуренції.</w:t>
      </w:r>
    </w:p>
    <w:p w:rsidR="00A820B0" w:rsidRPr="00E577B5" w:rsidRDefault="00A820B0" w:rsidP="00A820B0">
      <w:pPr>
        <w:spacing w:before="120" w:after="120"/>
        <w:jc w:val="both"/>
        <w:rPr>
          <w:i/>
          <w:iCs/>
          <w:lang w:val="uk-UA"/>
        </w:rPr>
      </w:pPr>
      <w:r w:rsidRPr="00E577B5">
        <w:rPr>
          <w:i/>
          <w:iCs/>
          <w:lang w:val="uk-UA"/>
        </w:rPr>
        <w:t>Ризик ліквідності</w:t>
      </w:r>
    </w:p>
    <w:p w:rsidR="00A820B0" w:rsidRPr="00E577B5" w:rsidRDefault="00A820B0" w:rsidP="00A820B0">
      <w:pPr>
        <w:spacing w:before="120" w:after="120"/>
        <w:jc w:val="both"/>
        <w:rPr>
          <w:lang w:val="uk-UA"/>
        </w:rPr>
      </w:pPr>
      <w:r w:rsidRPr="00E577B5">
        <w:rPr>
          <w:lang w:val="uk-UA"/>
        </w:rPr>
        <w:t>Товариство здійснює аналіз строків погашення активів і зобов’язань і планує свою ліквідність залежно від очікуваних строків погашення відповідних фінансових інструментів. Потреби Товариства в коротко - і довгостроковій ліквідності здебільшого забезпечуються за рахунок грошових коштів від операційної діяльності.</w:t>
      </w:r>
    </w:p>
    <w:p w:rsidR="00A820B0" w:rsidRPr="00E577B5" w:rsidRDefault="00A820B0" w:rsidP="00A820B0">
      <w:pPr>
        <w:spacing w:before="120" w:after="120"/>
        <w:jc w:val="both"/>
        <w:rPr>
          <w:i/>
          <w:iCs/>
          <w:lang w:val="uk-UA"/>
        </w:rPr>
      </w:pPr>
      <w:r w:rsidRPr="00E577B5">
        <w:rPr>
          <w:i/>
          <w:iCs/>
          <w:lang w:val="uk-UA"/>
        </w:rPr>
        <w:t>Кредитний ризик</w:t>
      </w:r>
    </w:p>
    <w:p w:rsidR="00A820B0" w:rsidRPr="00E577B5" w:rsidRDefault="00A820B0" w:rsidP="00A820B0">
      <w:pPr>
        <w:spacing w:before="120" w:after="120"/>
        <w:jc w:val="both"/>
        <w:rPr>
          <w:lang w:val="uk-UA"/>
        </w:rPr>
      </w:pPr>
      <w:r w:rsidRPr="00E577B5">
        <w:rPr>
          <w:lang w:val="uk-UA"/>
        </w:rPr>
        <w:t>Кредитний ризик – це ризик того, що контрагент не виконає своїх зобов’язань за фінансовими інструментами або за контрактом, що може призвести до фінансових збитків. Товариству властивий кредитний ризик від операційної діяльності (насамперед, за дебіторською заборгованістю) і від фінансової діяльності, включаючи депозити в банках і фінансових установах, операції з іноземною валютою та інші фінансові інструменти.</w:t>
      </w:r>
    </w:p>
    <w:p w:rsidR="00A820B0" w:rsidRPr="00E577B5" w:rsidRDefault="00A820B0" w:rsidP="00A820B0">
      <w:pPr>
        <w:spacing w:before="120" w:after="120"/>
        <w:jc w:val="both"/>
        <w:rPr>
          <w:lang w:val="uk-UA"/>
        </w:rPr>
      </w:pPr>
      <w:r w:rsidRPr="00E577B5">
        <w:rPr>
          <w:lang w:val="uk-UA"/>
        </w:rPr>
        <w:t>Фінансові інструменти, які потенційно можуть призвести до істотної концентрації кредитного ризику Товариства, складаються в основному із коштів у банку, а також дебіторської заборгованості.</w:t>
      </w:r>
    </w:p>
    <w:p w:rsidR="00A820B0" w:rsidRPr="00E577B5" w:rsidRDefault="00A820B0" w:rsidP="00A820B0">
      <w:pPr>
        <w:spacing w:before="120" w:after="120"/>
        <w:rPr>
          <w:b/>
          <w:smallCaps/>
          <w:lang w:val="uk-UA"/>
        </w:rPr>
      </w:pPr>
      <w:r w:rsidRPr="00E577B5">
        <w:rPr>
          <w:b/>
          <w:smallCaps/>
          <w:lang w:val="uk-UA"/>
        </w:rPr>
        <w:t xml:space="preserve">9. Пов’язані сторони. </w:t>
      </w:r>
    </w:p>
    <w:p w:rsidR="00A820B0" w:rsidRPr="00E577B5" w:rsidRDefault="00A820B0" w:rsidP="00A820B0">
      <w:pPr>
        <w:spacing w:before="120" w:after="120"/>
        <w:ind w:firstLine="568"/>
        <w:jc w:val="both"/>
        <w:rPr>
          <w:lang w:val="uk-UA"/>
        </w:rPr>
      </w:pPr>
      <w:r w:rsidRPr="00E577B5">
        <w:rPr>
          <w:lang w:val="uk-UA"/>
        </w:rPr>
        <w:t>Пов’язаними вважаються сторони, одна з яких контролює або має значний вплив на операційні та фінансові рішення іншої сторони.  При вирішенні питання про те, чи є сторони пов’язаними, приймається до уваги сутність взаємовідносин сторін, а не лише їх юридична форма.</w:t>
      </w:r>
    </w:p>
    <w:p w:rsidR="00A820B0" w:rsidRPr="00E577B5" w:rsidRDefault="00A820B0" w:rsidP="00A820B0">
      <w:pPr>
        <w:pStyle w:val="a0"/>
        <w:widowControl w:val="0"/>
        <w:suppressAutoHyphens w:val="0"/>
        <w:spacing w:before="120" w:after="120"/>
        <w:ind w:firstLine="709"/>
        <w:rPr>
          <w:lang w:val="uk-UA" w:eastAsia="uk-UA"/>
        </w:rPr>
      </w:pPr>
      <w:r w:rsidRPr="00E577B5">
        <w:rPr>
          <w:lang w:val="uk-UA" w:eastAsia="uk-UA"/>
        </w:rPr>
        <w:t xml:space="preserve">Пов’язаними  вважають сторони, одна з яких має можливість контролювати іншу або здійснювати суттєвий вплив на прийняття фінансових та операційних рішень іншою стороною, як це визначено в МСБО 24 «Розкриття інформації щодо зв’язаних сторін». Рішення про те які сторони являються зв’язаними приймають не тільки на основі їх юридичної форми, але і виходячи з характеру стосунків зв’язаними сторін. </w:t>
      </w:r>
    </w:p>
    <w:p w:rsidR="00A820B0" w:rsidRPr="00E577B5" w:rsidRDefault="00A820B0" w:rsidP="00215D5D">
      <w:pPr>
        <w:pStyle w:val="a0"/>
        <w:widowControl w:val="0"/>
        <w:suppressAutoHyphens w:val="0"/>
        <w:ind w:firstLine="709"/>
        <w:rPr>
          <w:lang w:val="uk-UA"/>
        </w:rPr>
      </w:pPr>
      <w:r w:rsidRPr="00E577B5">
        <w:rPr>
          <w:lang w:val="uk-UA"/>
        </w:rPr>
        <w:t xml:space="preserve">Товариство  приймає політику взаємовідносин із пов’язаними особами без спеціального ціноутворення. Операції із пов’язаними особами відображуються виключно за принципом  справедливої вартості на підставі договорів з врахуванням інтересів обох сторін. </w:t>
      </w:r>
    </w:p>
    <w:p w:rsidR="00A820B0" w:rsidRPr="00E577B5" w:rsidRDefault="00A820B0" w:rsidP="00215D5D">
      <w:pPr>
        <w:suppressAutoHyphens w:val="0"/>
        <w:jc w:val="both"/>
        <w:rPr>
          <w:iCs/>
          <w:lang w:val="uk-UA"/>
        </w:rPr>
      </w:pPr>
      <w:r w:rsidRPr="00E577B5">
        <w:rPr>
          <w:b/>
          <w:iCs/>
          <w:sz w:val="28"/>
          <w:szCs w:val="28"/>
          <w:lang w:val="uk-UA"/>
        </w:rPr>
        <w:t xml:space="preserve">    </w:t>
      </w:r>
      <w:r w:rsidRPr="00E577B5">
        <w:rPr>
          <w:iCs/>
          <w:lang w:val="uk-UA"/>
        </w:rPr>
        <w:t>Пов</w:t>
      </w:r>
      <w:r w:rsidRPr="00E577B5">
        <w:rPr>
          <w:iCs/>
        </w:rPr>
        <w:t>’</w:t>
      </w:r>
      <w:r w:rsidRPr="00E577B5">
        <w:rPr>
          <w:iCs/>
          <w:lang w:val="uk-UA"/>
        </w:rPr>
        <w:t>язаними сторонами Товариства є</w:t>
      </w:r>
    </w:p>
    <w:p w:rsidR="00A820B0" w:rsidRPr="00E577B5" w:rsidRDefault="00A820B0" w:rsidP="00215D5D">
      <w:pPr>
        <w:numPr>
          <w:ilvl w:val="0"/>
          <w:numId w:val="26"/>
        </w:numPr>
        <w:suppressAutoHyphens w:val="0"/>
        <w:jc w:val="both"/>
        <w:rPr>
          <w:lang w:val="uk-UA"/>
        </w:rPr>
      </w:pPr>
      <w:r w:rsidRPr="00E577B5">
        <w:rPr>
          <w:lang w:val="uk-UA"/>
        </w:rPr>
        <w:t>Директор</w:t>
      </w:r>
    </w:p>
    <w:p w:rsidR="00A820B0" w:rsidRPr="00E577B5" w:rsidRDefault="00A820B0" w:rsidP="00215D5D">
      <w:pPr>
        <w:numPr>
          <w:ilvl w:val="0"/>
          <w:numId w:val="26"/>
        </w:numPr>
        <w:suppressAutoHyphens w:val="0"/>
        <w:jc w:val="both"/>
        <w:rPr>
          <w:lang w:val="uk-UA"/>
        </w:rPr>
      </w:pPr>
      <w:r w:rsidRPr="00E577B5">
        <w:rPr>
          <w:lang w:val="uk-UA"/>
        </w:rPr>
        <w:t>Учасники</w:t>
      </w:r>
    </w:p>
    <w:p w:rsidR="00571D5E" w:rsidRDefault="002D1B46" w:rsidP="00C345F8">
      <w:pPr>
        <w:suppressAutoHyphens w:val="0"/>
        <w:spacing w:before="120" w:after="120"/>
        <w:jc w:val="both"/>
        <w:rPr>
          <w:lang w:val="uk-UA"/>
        </w:rPr>
      </w:pPr>
      <w:r>
        <w:rPr>
          <w:lang w:val="uk-UA"/>
        </w:rPr>
        <w:t>У 2021</w:t>
      </w:r>
      <w:r w:rsidR="00AA6080" w:rsidRPr="00C345F8">
        <w:rPr>
          <w:lang w:val="uk-UA"/>
        </w:rPr>
        <w:t xml:space="preserve"> році Товариство залучало кошти у вигляді безвідсоткової поворотної фінансової допомоги від учасника Товариства у сумі 2 </w:t>
      </w:r>
      <w:r>
        <w:rPr>
          <w:lang w:val="uk-UA"/>
        </w:rPr>
        <w:t>550</w:t>
      </w:r>
      <w:r w:rsidR="00AA6080" w:rsidRPr="00C345F8">
        <w:rPr>
          <w:lang w:val="uk-UA"/>
        </w:rPr>
        <w:t xml:space="preserve"> тис. грн. </w:t>
      </w:r>
      <w:r w:rsidR="00AA6080" w:rsidRPr="00C345F8">
        <w:rPr>
          <w:iCs/>
          <w:lang w:val="uk-UA"/>
        </w:rPr>
        <w:t>Повернуто учаснику Товариства поворотної безвідсот</w:t>
      </w:r>
      <w:r>
        <w:rPr>
          <w:iCs/>
          <w:lang w:val="uk-UA"/>
        </w:rPr>
        <w:t>кової фінансової допомоги у 2021</w:t>
      </w:r>
      <w:r w:rsidR="00AA6080" w:rsidRPr="00C345F8">
        <w:rPr>
          <w:iCs/>
          <w:lang w:val="uk-UA"/>
        </w:rPr>
        <w:t xml:space="preserve"> році </w:t>
      </w:r>
      <w:r>
        <w:rPr>
          <w:iCs/>
          <w:lang w:val="uk-UA"/>
        </w:rPr>
        <w:t>2</w:t>
      </w:r>
      <w:r w:rsidR="00AA6080" w:rsidRPr="00C345F8">
        <w:rPr>
          <w:iCs/>
          <w:lang w:val="uk-UA"/>
        </w:rPr>
        <w:t xml:space="preserve"> </w:t>
      </w:r>
      <w:r>
        <w:rPr>
          <w:iCs/>
          <w:lang w:val="uk-UA"/>
        </w:rPr>
        <w:t>018</w:t>
      </w:r>
      <w:r w:rsidR="00AA6080" w:rsidRPr="00C345F8">
        <w:rPr>
          <w:iCs/>
          <w:lang w:val="uk-UA"/>
        </w:rPr>
        <w:t xml:space="preserve"> тис. грн. </w:t>
      </w:r>
      <w:r>
        <w:rPr>
          <w:lang w:val="uk-UA"/>
        </w:rPr>
        <w:t>Станом на 31.12.2021</w:t>
      </w:r>
      <w:r w:rsidR="00AA6080" w:rsidRPr="00C345F8">
        <w:rPr>
          <w:lang w:val="uk-UA"/>
        </w:rPr>
        <w:t xml:space="preserve"> року заборгованість Товариства за отриманою поворотною безвідсотковою фінансовою допомогою від учасника Товариства складає 6 </w:t>
      </w:r>
      <w:r>
        <w:rPr>
          <w:lang w:val="uk-UA"/>
        </w:rPr>
        <w:t>917</w:t>
      </w:r>
      <w:r w:rsidR="00AA6080" w:rsidRPr="00C345F8">
        <w:rPr>
          <w:lang w:val="uk-UA"/>
        </w:rPr>
        <w:t xml:space="preserve"> тис. грн. (заборгованість відображено в р. 1690 «Інші поточні зобов’язання» звіту про фінансовий стан).</w:t>
      </w:r>
      <w:r w:rsidR="00AA6080" w:rsidRPr="004D335A">
        <w:rPr>
          <w:lang w:val="uk-UA"/>
        </w:rPr>
        <w:t xml:space="preserve"> </w:t>
      </w:r>
    </w:p>
    <w:p w:rsidR="00C60A1C" w:rsidRPr="00C60A1C" w:rsidRDefault="00C60A1C" w:rsidP="00C345F8">
      <w:pPr>
        <w:suppressAutoHyphens w:val="0"/>
        <w:spacing w:before="120" w:after="120"/>
        <w:jc w:val="both"/>
        <w:rPr>
          <w:color w:val="000000" w:themeColor="text1"/>
          <w:lang w:val="uk-UA"/>
        </w:rPr>
      </w:pPr>
      <w:r w:rsidRPr="005F1C6A">
        <w:rPr>
          <w:lang w:val="uk-UA"/>
        </w:rPr>
        <w:t xml:space="preserve">Згідно МСБО 24 у 2021 році – </w:t>
      </w:r>
      <w:r w:rsidRPr="005F1C6A">
        <w:rPr>
          <w:color w:val="000000" w:themeColor="text1"/>
          <w:lang w:val="uk-UA"/>
        </w:rPr>
        <w:t>зобов’язання, виплати управлінському персоналу:</w:t>
      </w:r>
      <w:r w:rsidRPr="005F1C6A">
        <w:rPr>
          <w:b/>
          <w:bCs/>
          <w:i/>
          <w:iCs/>
          <w:color w:val="000000" w:themeColor="text1"/>
          <w:shd w:val="clear" w:color="auto" w:fill="FFFFFF"/>
          <w:lang w:val="uk-UA"/>
        </w:rPr>
        <w:t xml:space="preserve"> </w:t>
      </w:r>
      <w:r w:rsidRPr="005F1C6A">
        <w:rPr>
          <w:bCs/>
          <w:i/>
          <w:iCs/>
          <w:color w:val="000000" w:themeColor="text1"/>
          <w:shd w:val="clear" w:color="auto" w:fill="FFFFFF"/>
          <w:lang w:val="uk-UA"/>
        </w:rPr>
        <w:t>(</w:t>
      </w:r>
      <w:r w:rsidRPr="005F1C6A">
        <w:rPr>
          <w:bCs/>
          <w:i/>
          <w:color w:val="000000" w:themeColor="text1"/>
          <w:shd w:val="clear" w:color="auto" w:fill="FFFFFF"/>
          <w:lang w:val="uk-UA"/>
        </w:rPr>
        <w:t xml:space="preserve">особа, яка безпосередньо або опосередковано має повноваження та є відповідальними за планування, </w:t>
      </w:r>
      <w:r w:rsidRPr="005F1C6A">
        <w:rPr>
          <w:bCs/>
          <w:i/>
          <w:color w:val="000000" w:themeColor="text1"/>
          <w:shd w:val="clear" w:color="auto" w:fill="FFFFFF"/>
          <w:lang w:val="uk-UA"/>
        </w:rPr>
        <w:lastRenderedPageBreak/>
        <w:t xml:space="preserve">управління та контроль діяльності суб'єкта господарювання, зокрема будь-який директор (виконавчий чи інший) цього суб'єкта господарювання) – </w:t>
      </w:r>
      <w:r w:rsidRPr="005F1C6A">
        <w:rPr>
          <w:bCs/>
          <w:color w:val="000000" w:themeColor="text1"/>
          <w:shd w:val="clear" w:color="auto" w:fill="FFFFFF"/>
          <w:lang w:val="uk-UA"/>
        </w:rPr>
        <w:t xml:space="preserve">складає 79 тис. грн., погашено 74 тис. грн., заборгованість станом на 01.01.2022 р. складає </w:t>
      </w:r>
      <w:r w:rsidR="00C50430" w:rsidRPr="005F1C6A">
        <w:rPr>
          <w:bCs/>
          <w:color w:val="000000" w:themeColor="text1"/>
          <w:shd w:val="clear" w:color="auto" w:fill="FFFFFF"/>
          <w:lang w:val="uk-UA"/>
        </w:rPr>
        <w:t>5 тис. грн.</w:t>
      </w:r>
    </w:p>
    <w:p w:rsidR="00A820B0" w:rsidRPr="00E577B5" w:rsidRDefault="00A820B0" w:rsidP="00A820B0">
      <w:pPr>
        <w:widowControl/>
        <w:numPr>
          <w:ilvl w:val="0"/>
          <w:numId w:val="32"/>
        </w:numPr>
        <w:suppressAutoHyphens w:val="0"/>
        <w:spacing w:before="120" w:after="120"/>
        <w:ind w:left="0" w:firstLine="0"/>
        <w:rPr>
          <w:b/>
          <w:smallCaps/>
          <w:lang w:val="uk-UA"/>
        </w:rPr>
      </w:pPr>
      <w:bookmarkStart w:id="3" w:name="_GoBack"/>
      <w:bookmarkEnd w:id="3"/>
      <w:r w:rsidRPr="00E577B5">
        <w:rPr>
          <w:b/>
          <w:smallCaps/>
          <w:lang w:val="uk-UA"/>
        </w:rPr>
        <w:t xml:space="preserve">Судові позови. </w:t>
      </w:r>
    </w:p>
    <w:p w:rsidR="002D1B46" w:rsidRPr="00390882" w:rsidRDefault="002D1B46" w:rsidP="00390882">
      <w:pPr>
        <w:tabs>
          <w:tab w:val="left" w:pos="954"/>
        </w:tabs>
        <w:spacing w:before="120" w:after="120"/>
        <w:ind w:firstLine="567"/>
        <w:jc w:val="both"/>
        <w:rPr>
          <w:lang w:val="uk-UA"/>
        </w:rPr>
      </w:pPr>
      <w:r>
        <w:rPr>
          <w:lang w:val="uk-UA"/>
        </w:rPr>
        <w:t>В 2021 році судових позовів не було.</w:t>
      </w:r>
    </w:p>
    <w:p w:rsidR="00A820B0" w:rsidRPr="00E577B5" w:rsidRDefault="002D1B46" w:rsidP="00A820B0">
      <w:pPr>
        <w:spacing w:before="120" w:after="120"/>
        <w:rPr>
          <w:b/>
          <w:smallCaps/>
          <w:lang w:val="uk-UA"/>
        </w:rPr>
      </w:pPr>
      <w:r>
        <w:rPr>
          <w:b/>
          <w:smallCaps/>
          <w:lang w:val="uk-UA"/>
        </w:rPr>
        <w:t>12</w:t>
      </w:r>
      <w:r w:rsidR="00A820B0" w:rsidRPr="00E577B5">
        <w:rPr>
          <w:b/>
          <w:smallCaps/>
          <w:lang w:val="uk-UA"/>
        </w:rPr>
        <w:t xml:space="preserve">. Події після дати балансу </w:t>
      </w:r>
    </w:p>
    <w:p w:rsidR="00A820B0" w:rsidRPr="00E577B5" w:rsidRDefault="00A820B0" w:rsidP="00E577B5">
      <w:pPr>
        <w:jc w:val="both"/>
        <w:rPr>
          <w:lang w:val="uk-UA"/>
        </w:rPr>
      </w:pPr>
      <w:r w:rsidRPr="00E577B5">
        <w:rPr>
          <w:lang w:val="uk-UA"/>
        </w:rPr>
        <w:t xml:space="preserve">В обліку та розкритті подій після дати балансу Товариство керується МСБО 10 «Події після звітного періоду». Після дати балансу не відбувалося наступних подій: </w:t>
      </w:r>
    </w:p>
    <w:p w:rsidR="00A820B0" w:rsidRPr="00E577B5" w:rsidRDefault="00A820B0" w:rsidP="00E577B5">
      <w:pPr>
        <w:jc w:val="both"/>
        <w:rPr>
          <w:lang w:val="uk-UA"/>
        </w:rPr>
      </w:pPr>
      <w:r w:rsidRPr="00E577B5">
        <w:rPr>
          <w:lang w:val="uk-UA"/>
        </w:rPr>
        <w:sym w:font="Symbol" w:char="F0B7"/>
      </w:r>
      <w:r w:rsidRPr="00E577B5">
        <w:rPr>
          <w:lang w:val="uk-UA"/>
        </w:rPr>
        <w:t xml:space="preserve"> об’єднання бізнесу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припинення діяльності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істотного придбання активів не було;</w:t>
      </w:r>
    </w:p>
    <w:p w:rsidR="00A820B0" w:rsidRPr="00E577B5" w:rsidRDefault="00A820B0" w:rsidP="00E577B5">
      <w:pPr>
        <w:jc w:val="both"/>
        <w:rPr>
          <w:lang w:val="uk-UA"/>
        </w:rPr>
      </w:pPr>
      <w:r w:rsidRPr="00E577B5">
        <w:rPr>
          <w:lang w:val="uk-UA"/>
        </w:rPr>
        <w:t xml:space="preserve"> </w:t>
      </w:r>
      <w:r w:rsidRPr="00E577B5">
        <w:rPr>
          <w:lang w:val="uk-UA"/>
        </w:rPr>
        <w:sym w:font="Symbol" w:char="F0B7"/>
      </w:r>
      <w:r w:rsidRPr="00E577B5">
        <w:rPr>
          <w:lang w:val="uk-UA"/>
        </w:rPr>
        <w:t xml:space="preserve"> реструктуризації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значних</w:t>
      </w:r>
      <w:r w:rsidR="00E577B5">
        <w:rPr>
          <w:lang w:val="uk-UA"/>
        </w:rPr>
        <w:t xml:space="preserve"> операцій з учасниками не було.</w:t>
      </w:r>
    </w:p>
    <w:p w:rsidR="00A820B0" w:rsidRPr="00FE493C" w:rsidRDefault="00A820B0" w:rsidP="00E577B5">
      <w:pPr>
        <w:jc w:val="both"/>
        <w:rPr>
          <w:lang w:val="uk-UA"/>
        </w:rPr>
      </w:pPr>
      <w:r w:rsidRPr="00E577B5">
        <w:rPr>
          <w:lang w:val="uk-UA"/>
        </w:rPr>
        <w:sym w:font="Symbol" w:char="F0B7"/>
      </w:r>
      <w:r w:rsidRPr="00E577B5">
        <w:rPr>
          <w:lang w:val="uk-UA"/>
        </w:rPr>
        <w:t xml:space="preserve"> великі судові процеси Товариством не розпочиналися;</w:t>
      </w:r>
    </w:p>
    <w:p w:rsidR="00A820B0" w:rsidRDefault="00496C3D" w:rsidP="00E577B5">
      <w:pPr>
        <w:rPr>
          <w:color w:val="FF0000"/>
          <w:lang w:val="uk-UA"/>
        </w:rPr>
      </w:pPr>
      <w:r>
        <w:rPr>
          <w:color w:val="000000"/>
        </w:rPr>
        <w:t>Да</w:t>
      </w:r>
      <w:r w:rsidR="002D1B46">
        <w:rPr>
          <w:color w:val="000000"/>
        </w:rPr>
        <w:t xml:space="preserve">та затвердження звіту </w:t>
      </w:r>
      <w:r w:rsidR="00390882">
        <w:rPr>
          <w:color w:val="000000"/>
          <w:lang w:val="uk-UA"/>
        </w:rPr>
        <w:t>13</w:t>
      </w:r>
      <w:r w:rsidR="002D1B46">
        <w:rPr>
          <w:color w:val="000000"/>
        </w:rPr>
        <w:t>.</w:t>
      </w:r>
      <w:r w:rsidR="00390882">
        <w:rPr>
          <w:color w:val="000000"/>
          <w:lang w:val="uk-UA"/>
        </w:rPr>
        <w:t>12</w:t>
      </w:r>
      <w:r w:rsidR="002D1B46">
        <w:rPr>
          <w:color w:val="000000"/>
        </w:rPr>
        <w:t>.2022</w:t>
      </w:r>
      <w:r w:rsidR="00A820B0" w:rsidRPr="00E577B5">
        <w:rPr>
          <w:color w:val="000000"/>
        </w:rPr>
        <w:t xml:space="preserve"> року.</w:t>
      </w:r>
      <w:r w:rsidR="00122782">
        <w:rPr>
          <w:color w:val="000000"/>
          <w:lang w:val="uk-UA"/>
        </w:rPr>
        <w:t xml:space="preserve">   </w:t>
      </w:r>
    </w:p>
    <w:p w:rsidR="00390882" w:rsidRDefault="00390882" w:rsidP="00390882">
      <w:pPr>
        <w:widowControl/>
        <w:shd w:val="clear" w:color="auto" w:fill="FFFFFF"/>
        <w:suppressAutoHyphens w:val="0"/>
        <w:ind w:firstLine="708"/>
        <w:rPr>
          <w:color w:val="222222"/>
          <w:lang w:val="uk-UA"/>
        </w:rPr>
      </w:pPr>
    </w:p>
    <w:p w:rsidR="004574ED" w:rsidRPr="00390882" w:rsidRDefault="004574ED" w:rsidP="00390882">
      <w:pPr>
        <w:widowControl/>
        <w:shd w:val="clear" w:color="auto" w:fill="FFFFFF"/>
        <w:suppressAutoHyphens w:val="0"/>
        <w:ind w:firstLine="708"/>
        <w:rPr>
          <w:color w:val="222222"/>
        </w:rPr>
      </w:pPr>
      <w:r w:rsidRPr="00390882">
        <w:rPr>
          <w:color w:val="222222"/>
        </w:rPr>
        <w:t xml:space="preserve">В цілому фінансова звітність Товариства була підготовлена до випуску та подана в контролюючи органи </w:t>
      </w:r>
      <w:r w:rsidR="00086486" w:rsidRPr="00086486">
        <w:rPr>
          <w:color w:val="222222"/>
        </w:rPr>
        <w:t>20</w:t>
      </w:r>
      <w:r w:rsidRPr="00390882">
        <w:rPr>
          <w:color w:val="222222"/>
        </w:rPr>
        <w:t xml:space="preserve"> </w:t>
      </w:r>
      <w:r w:rsidR="00086486">
        <w:rPr>
          <w:color w:val="222222"/>
          <w:lang w:val="uk-UA"/>
        </w:rPr>
        <w:t>жовтня</w:t>
      </w:r>
      <w:r w:rsidRPr="00390882">
        <w:rPr>
          <w:color w:val="222222"/>
        </w:rPr>
        <w:t xml:space="preserve"> 2022 року. Проте управлінським персоналом Товариства прийнято рішення, враховуючи воєнний стан в Україні, доповнити Примітки до фінансової звітності описом впливу військової агресії на діяльність Товариства, стан активів та зобов’язань. Зміни стосуються виключно розкриття інформації і викладені в п. 20(Події після дати балансу) та п.1 (Економічне середовище в умовах якого Товариство здійснює свою діяльність та Безперервність діяльності).</w:t>
      </w:r>
    </w:p>
    <w:p w:rsidR="004574ED" w:rsidRPr="00390882" w:rsidRDefault="004574ED" w:rsidP="004574ED">
      <w:pPr>
        <w:widowControl/>
        <w:shd w:val="clear" w:color="auto" w:fill="FFFFFF"/>
        <w:suppressAutoHyphens w:val="0"/>
        <w:rPr>
          <w:color w:val="222222"/>
        </w:rPr>
      </w:pPr>
      <w:r w:rsidRPr="00390882">
        <w:rPr>
          <w:color w:val="222222"/>
        </w:rPr>
        <w:t xml:space="preserve">Датою затвердження фінансової звітності Товариство </w:t>
      </w:r>
      <w:r w:rsidR="0061499B">
        <w:rPr>
          <w:color w:val="222222"/>
        </w:rPr>
        <w:t>для публікації визначає    </w:t>
      </w:r>
      <w:r w:rsidR="0061499B">
        <w:rPr>
          <w:color w:val="222222"/>
          <w:lang w:val="uk-UA"/>
        </w:rPr>
        <w:t>13.12.</w:t>
      </w:r>
      <w:r w:rsidRPr="00390882">
        <w:rPr>
          <w:color w:val="222222"/>
        </w:rPr>
        <w:t> 2022 року.</w:t>
      </w:r>
    </w:p>
    <w:p w:rsidR="004574ED" w:rsidRPr="004574ED" w:rsidRDefault="004574ED" w:rsidP="00E577B5">
      <w:pPr>
        <w:rPr>
          <w:color w:val="FF0000"/>
        </w:rPr>
      </w:pPr>
    </w:p>
    <w:p w:rsidR="00A820B0" w:rsidRPr="00E577B5" w:rsidRDefault="00A820B0" w:rsidP="00E577B5">
      <w:pPr>
        <w:jc w:val="both"/>
        <w:rPr>
          <w:lang w:val="uk-UA"/>
        </w:rPr>
      </w:pPr>
    </w:p>
    <w:p w:rsidR="00A820B0" w:rsidRPr="00E577B5" w:rsidRDefault="00A820B0" w:rsidP="00AF519E">
      <w:pPr>
        <w:pStyle w:val="a0"/>
        <w:widowControl w:val="0"/>
        <w:suppressAutoHyphens w:val="0"/>
        <w:spacing w:before="120" w:after="120"/>
        <w:ind w:firstLine="0"/>
        <w:rPr>
          <w:lang w:val="uk-UA"/>
        </w:rPr>
      </w:pPr>
    </w:p>
    <w:p w:rsidR="00420155" w:rsidRPr="00E577B5" w:rsidRDefault="00F72444" w:rsidP="00AF519E">
      <w:pPr>
        <w:suppressAutoHyphens w:val="0"/>
        <w:spacing w:before="120" w:after="120"/>
        <w:ind w:firstLine="709"/>
        <w:jc w:val="both"/>
        <w:rPr>
          <w:lang w:val="uk-UA"/>
        </w:rPr>
      </w:pPr>
      <w:r w:rsidRPr="00E577B5">
        <w:rPr>
          <w:lang w:val="uk-UA"/>
        </w:rPr>
        <w:t>Д</w:t>
      </w:r>
      <w:r w:rsidR="00420155" w:rsidRPr="00E577B5">
        <w:rPr>
          <w:lang w:val="uk-UA"/>
        </w:rPr>
        <w:t>иректор</w:t>
      </w:r>
      <w:r w:rsidRPr="00E577B5">
        <w:rPr>
          <w:lang w:val="uk-UA"/>
        </w:rPr>
        <w:t xml:space="preserve">                            </w:t>
      </w:r>
      <w:r w:rsidR="00420155" w:rsidRPr="00E577B5">
        <w:rPr>
          <w:lang w:val="uk-UA"/>
        </w:rPr>
        <w:t>____________</w:t>
      </w:r>
      <w:r w:rsidR="00963F58" w:rsidRPr="00E577B5">
        <w:rPr>
          <w:lang w:val="uk-UA"/>
        </w:rPr>
        <w:t xml:space="preserve"> </w:t>
      </w:r>
      <w:r w:rsidRPr="00E577B5">
        <w:rPr>
          <w:lang w:val="uk-UA"/>
        </w:rPr>
        <w:t xml:space="preserve"> </w:t>
      </w:r>
      <w:r w:rsidR="00420155" w:rsidRPr="00E577B5">
        <w:rPr>
          <w:lang w:val="uk-UA"/>
        </w:rPr>
        <w:t xml:space="preserve"> </w:t>
      </w:r>
      <w:r w:rsidR="00C45331" w:rsidRPr="00E577B5">
        <w:rPr>
          <w:lang w:val="uk-UA"/>
        </w:rPr>
        <w:t>Добродькін О.М.</w:t>
      </w:r>
    </w:p>
    <w:p w:rsidR="00420155" w:rsidRPr="00E577B5" w:rsidRDefault="00420155" w:rsidP="00AF519E">
      <w:pPr>
        <w:suppressAutoHyphens w:val="0"/>
        <w:spacing w:before="120" w:after="120"/>
        <w:ind w:firstLine="709"/>
        <w:jc w:val="both"/>
        <w:rPr>
          <w:lang w:val="uk-UA"/>
        </w:rPr>
      </w:pPr>
      <w:r w:rsidRPr="00E577B5">
        <w:rPr>
          <w:lang w:val="uk-UA"/>
        </w:rPr>
        <w:tab/>
      </w:r>
    </w:p>
    <w:p w:rsidR="00420155" w:rsidRPr="00E35C85" w:rsidRDefault="007B7184" w:rsidP="00AF519E">
      <w:pPr>
        <w:suppressAutoHyphens w:val="0"/>
        <w:spacing w:before="120" w:after="120"/>
        <w:ind w:firstLine="709"/>
        <w:jc w:val="both"/>
        <w:rPr>
          <w:lang w:val="uk-UA"/>
        </w:rPr>
      </w:pPr>
      <w:r w:rsidRPr="00E577B5">
        <w:rPr>
          <w:lang w:val="uk-UA"/>
        </w:rPr>
        <w:t>Б</w:t>
      </w:r>
      <w:r w:rsidR="00420155" w:rsidRPr="00E577B5">
        <w:rPr>
          <w:lang w:val="uk-UA"/>
        </w:rPr>
        <w:t>ухгалтер</w:t>
      </w:r>
      <w:r w:rsidR="00420155" w:rsidRPr="00E577B5">
        <w:rPr>
          <w:lang w:val="uk-UA"/>
        </w:rPr>
        <w:tab/>
      </w:r>
      <w:r w:rsidR="00C45331" w:rsidRPr="00E577B5">
        <w:rPr>
          <w:lang w:val="uk-UA"/>
        </w:rPr>
        <w:t xml:space="preserve">       </w:t>
      </w:r>
      <w:r w:rsidRPr="00E577B5">
        <w:rPr>
          <w:lang w:val="uk-UA"/>
        </w:rPr>
        <w:tab/>
        <w:t xml:space="preserve">        </w:t>
      </w:r>
      <w:r w:rsidR="00C45331" w:rsidRPr="00E577B5">
        <w:rPr>
          <w:lang w:val="uk-UA"/>
        </w:rPr>
        <w:t xml:space="preserve"> </w:t>
      </w:r>
      <w:r w:rsidR="00420155" w:rsidRPr="00E577B5">
        <w:rPr>
          <w:lang w:val="uk-UA"/>
        </w:rPr>
        <w:t xml:space="preserve">____________  </w:t>
      </w:r>
      <w:r w:rsidR="00F72444" w:rsidRPr="00E577B5">
        <w:rPr>
          <w:lang w:val="uk-UA"/>
        </w:rPr>
        <w:t xml:space="preserve"> </w:t>
      </w:r>
      <w:r w:rsidRPr="00E577B5">
        <w:rPr>
          <w:lang w:val="uk-UA"/>
        </w:rPr>
        <w:t>Орєхов О.О.</w:t>
      </w:r>
      <w:r w:rsidR="00C45331" w:rsidRPr="00C45331">
        <w:rPr>
          <w:lang w:val="uk-UA"/>
        </w:rPr>
        <w:t xml:space="preserve">             </w:t>
      </w:r>
    </w:p>
    <w:sectPr w:rsidR="00420155" w:rsidRPr="00E35C85" w:rsidSect="00932899">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22" w:rsidRDefault="00A57522" w:rsidP="001F4738">
      <w:r>
        <w:separator/>
      </w:r>
    </w:p>
  </w:endnote>
  <w:endnote w:type="continuationSeparator" w:id="0">
    <w:p w:rsidR="00A57522" w:rsidRDefault="00A57522" w:rsidP="001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altName w:val="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7A" w:rsidRDefault="00096C7A">
    <w:pPr>
      <w:pStyle w:val="af"/>
      <w:jc w:val="right"/>
    </w:pPr>
    <w:r>
      <w:fldChar w:fldCharType="begin"/>
    </w:r>
    <w:r>
      <w:instrText xml:space="preserve"> PAGE   \* MERGEFORMAT </w:instrText>
    </w:r>
    <w:r>
      <w:fldChar w:fldCharType="separate"/>
    </w:r>
    <w:r w:rsidR="005F1C6A">
      <w:rPr>
        <w:noProof/>
      </w:rPr>
      <w:t>1</w:t>
    </w:r>
    <w:r>
      <w:rPr>
        <w:noProof/>
      </w:rPr>
      <w:fldChar w:fldCharType="end"/>
    </w:r>
  </w:p>
  <w:p w:rsidR="00096C7A" w:rsidRDefault="00096C7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22" w:rsidRDefault="00A57522" w:rsidP="001F4738">
      <w:r>
        <w:separator/>
      </w:r>
    </w:p>
  </w:footnote>
  <w:footnote w:type="continuationSeparator" w:id="0">
    <w:p w:rsidR="00A57522" w:rsidRDefault="00A57522" w:rsidP="001F4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Маркированный список 1"/>
    <w:lvl w:ilvl="0">
      <w:start w:val="1"/>
      <w:numFmt w:val="bullet"/>
      <w:lvlText w:val="–"/>
      <w:lvlJc w:val="left"/>
      <w:pPr>
        <w:tabs>
          <w:tab w:val="num" w:pos="0"/>
        </w:tabs>
      </w:pPr>
      <w:rPr>
        <w:rFonts w:ascii="Times New Roman" w:hAnsi="Times New Roman"/>
      </w:rPr>
    </w:lvl>
    <w:lvl w:ilvl="1">
      <w:start w:val="1"/>
      <w:numFmt w:val="bullet"/>
      <w:lvlText w:val="–"/>
      <w:lvlJc w:val="left"/>
      <w:pPr>
        <w:tabs>
          <w:tab w:val="num" w:pos="454"/>
        </w:tabs>
        <w:ind w:left="454" w:hanging="227"/>
      </w:pPr>
      <w:rPr>
        <w:rFonts w:ascii="Times New Roman" w:hAnsi="Times New Roman"/>
      </w:rPr>
    </w:lvl>
    <w:lvl w:ilvl="2">
      <w:start w:val="1"/>
      <w:numFmt w:val="bullet"/>
      <w:lvlText w:val="–"/>
      <w:lvlJc w:val="left"/>
      <w:pPr>
        <w:tabs>
          <w:tab w:val="num" w:pos="680"/>
        </w:tabs>
        <w:ind w:left="680" w:hanging="227"/>
      </w:pPr>
      <w:rPr>
        <w:rFonts w:ascii="Times New Roman" w:hAnsi="Times New Roman"/>
      </w:rPr>
    </w:lvl>
    <w:lvl w:ilvl="3">
      <w:start w:val="1"/>
      <w:numFmt w:val="bullet"/>
      <w:lvlText w:val="–"/>
      <w:lvlJc w:val="left"/>
      <w:pPr>
        <w:tabs>
          <w:tab w:val="num" w:pos="907"/>
        </w:tabs>
        <w:ind w:left="907" w:hanging="227"/>
      </w:pPr>
      <w:rPr>
        <w:rFonts w:ascii="Times New Roman" w:hAnsi="Times New Roman"/>
      </w:rPr>
    </w:lvl>
    <w:lvl w:ilvl="4">
      <w:start w:val="1"/>
      <w:numFmt w:val="bullet"/>
      <w:lvlText w:val="–"/>
      <w:lvlJc w:val="left"/>
      <w:pPr>
        <w:tabs>
          <w:tab w:val="num" w:pos="1134"/>
        </w:tabs>
        <w:ind w:left="1134" w:hanging="227"/>
      </w:pPr>
      <w:rPr>
        <w:rFonts w:ascii="Times New Roman" w:hAnsi="Times New Roman"/>
      </w:rPr>
    </w:lvl>
    <w:lvl w:ilvl="5">
      <w:start w:val="1"/>
      <w:numFmt w:val="bullet"/>
      <w:lvlText w:val="–"/>
      <w:lvlJc w:val="left"/>
      <w:pPr>
        <w:tabs>
          <w:tab w:val="num" w:pos="1361"/>
        </w:tabs>
        <w:ind w:left="1361" w:hanging="227"/>
      </w:pPr>
      <w:rPr>
        <w:rFonts w:ascii="Times New Roman" w:hAnsi="Times New Roman"/>
      </w:rPr>
    </w:lvl>
    <w:lvl w:ilvl="6">
      <w:start w:val="1"/>
      <w:numFmt w:val="bullet"/>
      <w:lvlText w:val="–"/>
      <w:lvlJc w:val="left"/>
      <w:pPr>
        <w:tabs>
          <w:tab w:val="num" w:pos="1587"/>
        </w:tabs>
        <w:ind w:left="1587" w:hanging="227"/>
      </w:pPr>
      <w:rPr>
        <w:rFonts w:ascii="Times New Roman" w:hAnsi="Times New Roman"/>
      </w:rPr>
    </w:lvl>
    <w:lvl w:ilvl="7">
      <w:start w:val="1"/>
      <w:numFmt w:val="bullet"/>
      <w:lvlText w:val="–"/>
      <w:lvlJc w:val="left"/>
      <w:pPr>
        <w:tabs>
          <w:tab w:val="num" w:pos="1814"/>
        </w:tabs>
        <w:ind w:left="1814" w:hanging="227"/>
      </w:pPr>
      <w:rPr>
        <w:rFonts w:ascii="Times New Roman" w:hAnsi="Times New Roman"/>
      </w:rPr>
    </w:lvl>
    <w:lvl w:ilvl="8">
      <w:start w:val="1"/>
      <w:numFmt w:val="bullet"/>
      <w:lvlText w:val="–"/>
      <w:lvlJc w:val="left"/>
      <w:pPr>
        <w:tabs>
          <w:tab w:val="num" w:pos="2041"/>
        </w:tabs>
        <w:ind w:left="2041" w:hanging="227"/>
      </w:pPr>
      <w:rPr>
        <w:rFonts w:ascii="Times New Roman" w:hAnsi="Times New Roman"/>
      </w:r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15:restartNumberingAfterBreak="0">
    <w:nsid w:val="00000009"/>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4" w15:restartNumberingAfterBreak="0">
    <w:nsid w:val="0000000A"/>
    <w:multiLevelType w:val="multilevel"/>
    <w:tmpl w:val="0000000A"/>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5" w15:restartNumberingAfterBreak="0">
    <w:nsid w:val="018043F4"/>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6" w15:restartNumberingAfterBreak="0">
    <w:nsid w:val="09F35429"/>
    <w:multiLevelType w:val="hybridMultilevel"/>
    <w:tmpl w:val="EFC85CA2"/>
    <w:lvl w:ilvl="0" w:tplc="8452CE8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F42BC"/>
    <w:multiLevelType w:val="multilevel"/>
    <w:tmpl w:val="D076EA6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EC83963"/>
    <w:multiLevelType w:val="hybridMultilevel"/>
    <w:tmpl w:val="02DC2A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06C3749"/>
    <w:multiLevelType w:val="hybridMultilevel"/>
    <w:tmpl w:val="DAF46AD4"/>
    <w:lvl w:ilvl="0" w:tplc="A2E227D0">
      <w:start w:val="7"/>
      <w:numFmt w:val="decimal"/>
      <w:lvlText w:val="%1"/>
      <w:lvlJc w:val="left"/>
      <w:pPr>
        <w:ind w:left="1074" w:hanging="360"/>
      </w:pPr>
      <w:rPr>
        <w:rFonts w:cs="Times New Roman" w:hint="default"/>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10" w15:restartNumberingAfterBreak="0">
    <w:nsid w:val="13461629"/>
    <w:multiLevelType w:val="hybridMultilevel"/>
    <w:tmpl w:val="115EC2F8"/>
    <w:lvl w:ilvl="0" w:tplc="50763F20">
      <w:start w:val="4"/>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45368ED"/>
    <w:multiLevelType w:val="hybridMultilevel"/>
    <w:tmpl w:val="430A6504"/>
    <w:lvl w:ilvl="0" w:tplc="9CCA7C5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1F2E4DE4"/>
    <w:multiLevelType w:val="hybridMultilevel"/>
    <w:tmpl w:val="E26AA854"/>
    <w:lvl w:ilvl="0" w:tplc="AB5A1E0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319EE"/>
    <w:multiLevelType w:val="hybridMultilevel"/>
    <w:tmpl w:val="19C8927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264BC6"/>
    <w:multiLevelType w:val="multilevel"/>
    <w:tmpl w:val="4224BC7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29C62FE"/>
    <w:multiLevelType w:val="multilevel"/>
    <w:tmpl w:val="A9F2251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5474B7F"/>
    <w:multiLevelType w:val="hybridMultilevel"/>
    <w:tmpl w:val="17269196"/>
    <w:lvl w:ilvl="0" w:tplc="F5BCDDE4">
      <w:start w:val="1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80C1ADF"/>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18" w15:restartNumberingAfterBreak="0">
    <w:nsid w:val="282F4EFE"/>
    <w:multiLevelType w:val="hybridMultilevel"/>
    <w:tmpl w:val="92A09846"/>
    <w:lvl w:ilvl="0" w:tplc="B6A4633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85916"/>
    <w:multiLevelType w:val="hybridMultilevel"/>
    <w:tmpl w:val="F080156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FF7652B"/>
    <w:multiLevelType w:val="hybridMultilevel"/>
    <w:tmpl w:val="F90494D2"/>
    <w:lvl w:ilvl="0" w:tplc="F5044C5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00B4542"/>
    <w:multiLevelType w:val="multilevel"/>
    <w:tmpl w:val="59C09524"/>
    <w:lvl w:ilvl="0">
      <w:start w:val="5"/>
      <w:numFmt w:val="decimal"/>
      <w:lvlText w:val="%1."/>
      <w:lvlJc w:val="left"/>
      <w:pPr>
        <w:ind w:left="360" w:hanging="360"/>
      </w:pPr>
      <w:rPr>
        <w:rFonts w:cs="Times New Roman" w:hint="default"/>
      </w:rPr>
    </w:lvl>
    <w:lvl w:ilvl="1">
      <w:start w:val="3"/>
      <w:numFmt w:val="decimal"/>
      <w:lvlText w:val="%1.%2."/>
      <w:lvlJc w:val="left"/>
      <w:pPr>
        <w:ind w:left="1260"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2" w15:restartNumberingAfterBreak="0">
    <w:nsid w:val="30D51CB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333122E5"/>
    <w:multiLevelType w:val="hybridMultilevel"/>
    <w:tmpl w:val="36D62EDE"/>
    <w:lvl w:ilvl="0" w:tplc="B468930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1A137F"/>
    <w:multiLevelType w:val="hybridMultilevel"/>
    <w:tmpl w:val="AEA8CE7E"/>
    <w:lvl w:ilvl="0" w:tplc="53E26DC8">
      <w:start w:val="1"/>
      <w:numFmt w:val="bullet"/>
      <w:lvlText w:val="-"/>
      <w:lvlJc w:val="left"/>
      <w:pPr>
        <w:ind w:left="900" w:hanging="360"/>
      </w:pPr>
      <w:rPr>
        <w:rFonts w:ascii="Times New Roman" w:eastAsia="Times New Roman" w:hAnsi="Times New Roman" w:hint="default"/>
      </w:rPr>
    </w:lvl>
    <w:lvl w:ilvl="1" w:tplc="0812FC8C">
      <w:start w:val="1"/>
      <w:numFmt w:val="bullet"/>
      <w:lvlText w:val="o"/>
      <w:lvlJc w:val="left"/>
      <w:pPr>
        <w:ind w:left="1647" w:hanging="360"/>
      </w:pPr>
      <w:rPr>
        <w:rFonts w:ascii="Courier New" w:hAnsi="Courier New" w:hint="default"/>
      </w:rPr>
    </w:lvl>
    <w:lvl w:ilvl="2" w:tplc="250A478E">
      <w:start w:val="1"/>
      <w:numFmt w:val="bullet"/>
      <w:lvlText w:val=""/>
      <w:lvlJc w:val="left"/>
      <w:pPr>
        <w:ind w:left="2367" w:hanging="360"/>
      </w:pPr>
      <w:rPr>
        <w:rFonts w:ascii="Wingdings" w:hAnsi="Wingdings" w:hint="default"/>
      </w:rPr>
    </w:lvl>
    <w:lvl w:ilvl="3" w:tplc="987662EE">
      <w:start w:val="1"/>
      <w:numFmt w:val="bullet"/>
      <w:lvlText w:val=""/>
      <w:lvlJc w:val="left"/>
      <w:pPr>
        <w:ind w:left="3087" w:hanging="360"/>
      </w:pPr>
      <w:rPr>
        <w:rFonts w:ascii="Symbol" w:hAnsi="Symbol" w:hint="default"/>
      </w:rPr>
    </w:lvl>
    <w:lvl w:ilvl="4" w:tplc="A2E6E134">
      <w:start w:val="1"/>
      <w:numFmt w:val="bullet"/>
      <w:lvlText w:val="o"/>
      <w:lvlJc w:val="left"/>
      <w:pPr>
        <w:ind w:left="3807" w:hanging="360"/>
      </w:pPr>
      <w:rPr>
        <w:rFonts w:ascii="Courier New" w:hAnsi="Courier New" w:hint="default"/>
      </w:rPr>
    </w:lvl>
    <w:lvl w:ilvl="5" w:tplc="3D4E53C2">
      <w:start w:val="1"/>
      <w:numFmt w:val="bullet"/>
      <w:lvlText w:val=""/>
      <w:lvlJc w:val="left"/>
      <w:pPr>
        <w:ind w:left="4527" w:hanging="360"/>
      </w:pPr>
      <w:rPr>
        <w:rFonts w:ascii="Wingdings" w:hAnsi="Wingdings" w:hint="default"/>
      </w:rPr>
    </w:lvl>
    <w:lvl w:ilvl="6" w:tplc="8CDEAD0A">
      <w:start w:val="1"/>
      <w:numFmt w:val="bullet"/>
      <w:lvlText w:val=""/>
      <w:lvlJc w:val="left"/>
      <w:pPr>
        <w:ind w:left="5247" w:hanging="360"/>
      </w:pPr>
      <w:rPr>
        <w:rFonts w:ascii="Symbol" w:hAnsi="Symbol" w:hint="default"/>
      </w:rPr>
    </w:lvl>
    <w:lvl w:ilvl="7" w:tplc="04E6284A">
      <w:start w:val="1"/>
      <w:numFmt w:val="bullet"/>
      <w:lvlText w:val="o"/>
      <w:lvlJc w:val="left"/>
      <w:pPr>
        <w:ind w:left="5967" w:hanging="360"/>
      </w:pPr>
      <w:rPr>
        <w:rFonts w:ascii="Courier New" w:hAnsi="Courier New" w:hint="default"/>
      </w:rPr>
    </w:lvl>
    <w:lvl w:ilvl="8" w:tplc="E1367B50">
      <w:start w:val="1"/>
      <w:numFmt w:val="bullet"/>
      <w:lvlText w:val=""/>
      <w:lvlJc w:val="left"/>
      <w:pPr>
        <w:ind w:left="6687" w:hanging="360"/>
      </w:pPr>
      <w:rPr>
        <w:rFonts w:ascii="Wingdings" w:hAnsi="Wingdings" w:hint="default"/>
      </w:rPr>
    </w:lvl>
  </w:abstractNum>
  <w:abstractNum w:abstractNumId="25" w15:restartNumberingAfterBreak="0">
    <w:nsid w:val="49FE52E7"/>
    <w:multiLevelType w:val="multilevel"/>
    <w:tmpl w:val="FD7890EA"/>
    <w:lvl w:ilvl="0">
      <w:start w:val="4"/>
      <w:numFmt w:val="decimal"/>
      <w:lvlText w:val="%1."/>
      <w:lvlJc w:val="left"/>
      <w:pPr>
        <w:ind w:left="1353"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53814BD6"/>
    <w:multiLevelType w:val="multilevel"/>
    <w:tmpl w:val="76C25054"/>
    <w:lvl w:ilvl="0">
      <w:start w:val="31"/>
      <w:numFmt w:val="bullet"/>
      <w:lvlText w:val="-"/>
      <w:lvlJc w:val="left"/>
      <w:pPr>
        <w:tabs>
          <w:tab w:val="num" w:pos="1263"/>
        </w:tabs>
        <w:ind w:left="1263" w:hanging="708"/>
      </w:pPr>
      <w:rPr>
        <w:rFonts w:ascii="Times New Roman" w:eastAsia="Times New Roman" w:hAnsi="Times New Roman" w:hint="default"/>
      </w:rPr>
    </w:lvl>
    <w:lvl w:ilvl="1">
      <w:start w:val="1"/>
      <w:numFmt w:val="bullet"/>
      <w:lvlText w:val="o"/>
      <w:lvlJc w:val="left"/>
      <w:pPr>
        <w:tabs>
          <w:tab w:val="num" w:pos="1635"/>
        </w:tabs>
        <w:ind w:left="1635" w:hanging="360"/>
      </w:pPr>
      <w:rPr>
        <w:rFonts w:ascii="Courier New" w:hAnsi="Courier New" w:hint="default"/>
      </w:rPr>
    </w:lvl>
    <w:lvl w:ilvl="2">
      <w:start w:val="1"/>
      <w:numFmt w:val="bullet"/>
      <w:lvlText w:val=""/>
      <w:lvlJc w:val="left"/>
      <w:pPr>
        <w:tabs>
          <w:tab w:val="num" w:pos="2355"/>
        </w:tabs>
        <w:ind w:left="2355" w:hanging="360"/>
      </w:pPr>
      <w:rPr>
        <w:rFonts w:ascii="Wingdings" w:hAnsi="Wingdings" w:hint="default"/>
      </w:rPr>
    </w:lvl>
    <w:lvl w:ilvl="3">
      <w:start w:val="1"/>
      <w:numFmt w:val="bullet"/>
      <w:lvlText w:val=""/>
      <w:lvlJc w:val="left"/>
      <w:pPr>
        <w:tabs>
          <w:tab w:val="num" w:pos="3075"/>
        </w:tabs>
        <w:ind w:left="3075" w:hanging="360"/>
      </w:pPr>
      <w:rPr>
        <w:rFonts w:ascii="Symbol" w:hAnsi="Symbol" w:hint="default"/>
      </w:rPr>
    </w:lvl>
    <w:lvl w:ilvl="4">
      <w:start w:val="1"/>
      <w:numFmt w:val="bullet"/>
      <w:lvlText w:val="o"/>
      <w:lvlJc w:val="left"/>
      <w:pPr>
        <w:tabs>
          <w:tab w:val="num" w:pos="3795"/>
        </w:tabs>
        <w:ind w:left="3795" w:hanging="360"/>
      </w:pPr>
      <w:rPr>
        <w:rFonts w:ascii="Courier New" w:hAnsi="Courier New" w:hint="default"/>
      </w:rPr>
    </w:lvl>
    <w:lvl w:ilvl="5">
      <w:start w:val="1"/>
      <w:numFmt w:val="bullet"/>
      <w:lvlText w:val=""/>
      <w:lvlJc w:val="left"/>
      <w:pPr>
        <w:tabs>
          <w:tab w:val="num" w:pos="4515"/>
        </w:tabs>
        <w:ind w:left="4515" w:hanging="360"/>
      </w:pPr>
      <w:rPr>
        <w:rFonts w:ascii="Wingdings" w:hAnsi="Wingdings" w:hint="default"/>
      </w:rPr>
    </w:lvl>
    <w:lvl w:ilvl="6">
      <w:start w:val="1"/>
      <w:numFmt w:val="bullet"/>
      <w:lvlText w:val=""/>
      <w:lvlJc w:val="left"/>
      <w:pPr>
        <w:tabs>
          <w:tab w:val="num" w:pos="5235"/>
        </w:tabs>
        <w:ind w:left="5235" w:hanging="360"/>
      </w:pPr>
      <w:rPr>
        <w:rFonts w:ascii="Symbol" w:hAnsi="Symbol" w:hint="default"/>
      </w:rPr>
    </w:lvl>
    <w:lvl w:ilvl="7">
      <w:start w:val="1"/>
      <w:numFmt w:val="bullet"/>
      <w:lvlText w:val="o"/>
      <w:lvlJc w:val="left"/>
      <w:pPr>
        <w:tabs>
          <w:tab w:val="num" w:pos="5955"/>
        </w:tabs>
        <w:ind w:left="5955" w:hanging="360"/>
      </w:pPr>
      <w:rPr>
        <w:rFonts w:ascii="Courier New" w:hAnsi="Courier New" w:hint="default"/>
      </w:rPr>
    </w:lvl>
    <w:lvl w:ilvl="8">
      <w:start w:val="1"/>
      <w:numFmt w:val="bullet"/>
      <w:lvlText w:val=""/>
      <w:lvlJc w:val="left"/>
      <w:pPr>
        <w:tabs>
          <w:tab w:val="num" w:pos="6675"/>
        </w:tabs>
        <w:ind w:left="6675" w:hanging="360"/>
      </w:pPr>
      <w:rPr>
        <w:rFonts w:ascii="Wingdings" w:hAnsi="Wingdings" w:hint="default"/>
      </w:rPr>
    </w:lvl>
  </w:abstractNum>
  <w:abstractNum w:abstractNumId="27" w15:restartNumberingAfterBreak="0">
    <w:nsid w:val="55D525CF"/>
    <w:multiLevelType w:val="hybridMultilevel"/>
    <w:tmpl w:val="6FA0D65A"/>
    <w:lvl w:ilvl="0" w:tplc="0419000F">
      <w:start w:val="1"/>
      <w:numFmt w:val="decimal"/>
      <w:lvlText w:val="%1."/>
      <w:lvlJc w:val="left"/>
      <w:pPr>
        <w:tabs>
          <w:tab w:val="num" w:pos="153"/>
        </w:tabs>
        <w:ind w:left="153" w:hanging="360"/>
      </w:pPr>
      <w:rPr>
        <w:rFonts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8" w15:restartNumberingAfterBreak="0">
    <w:nsid w:val="58E50F9B"/>
    <w:multiLevelType w:val="hybridMultilevel"/>
    <w:tmpl w:val="2F60CA2A"/>
    <w:lvl w:ilvl="0" w:tplc="7D9EAB14">
      <w:start w:val="2"/>
      <w:numFmt w:val="decimal"/>
      <w:lvlText w:val="%1."/>
      <w:lvlJc w:val="left"/>
      <w:pPr>
        <w:ind w:left="1440" w:hanging="360"/>
      </w:pPr>
      <w:rPr>
        <w:rFonts w:cs="Times New Roman" w:hint="default"/>
      </w:rPr>
    </w:lvl>
    <w:lvl w:ilvl="1" w:tplc="CE00909C">
      <w:start w:val="1"/>
      <w:numFmt w:val="lowerLetter"/>
      <w:lvlText w:val="%2."/>
      <w:lvlJc w:val="left"/>
      <w:pPr>
        <w:ind w:left="2160" w:hanging="360"/>
      </w:pPr>
      <w:rPr>
        <w:rFonts w:cs="Times New Roman"/>
      </w:rPr>
    </w:lvl>
    <w:lvl w:ilvl="2" w:tplc="326833A0">
      <w:start w:val="1"/>
      <w:numFmt w:val="lowerRoman"/>
      <w:lvlText w:val="%3."/>
      <w:lvlJc w:val="right"/>
      <w:pPr>
        <w:ind w:left="2880" w:hanging="180"/>
      </w:pPr>
      <w:rPr>
        <w:rFonts w:cs="Times New Roman"/>
      </w:rPr>
    </w:lvl>
    <w:lvl w:ilvl="3" w:tplc="030AFC04">
      <w:start w:val="1"/>
      <w:numFmt w:val="decimal"/>
      <w:lvlText w:val="%4."/>
      <w:lvlJc w:val="left"/>
      <w:pPr>
        <w:ind w:left="3600" w:hanging="360"/>
      </w:pPr>
      <w:rPr>
        <w:rFonts w:cs="Times New Roman"/>
      </w:rPr>
    </w:lvl>
    <w:lvl w:ilvl="4" w:tplc="C450DCBA">
      <w:start w:val="1"/>
      <w:numFmt w:val="lowerLetter"/>
      <w:lvlText w:val="%5."/>
      <w:lvlJc w:val="left"/>
      <w:pPr>
        <w:ind w:left="4320" w:hanging="360"/>
      </w:pPr>
      <w:rPr>
        <w:rFonts w:cs="Times New Roman"/>
      </w:rPr>
    </w:lvl>
    <w:lvl w:ilvl="5" w:tplc="893A0ED2">
      <w:start w:val="1"/>
      <w:numFmt w:val="lowerRoman"/>
      <w:lvlText w:val="%6."/>
      <w:lvlJc w:val="right"/>
      <w:pPr>
        <w:ind w:left="5040" w:hanging="180"/>
      </w:pPr>
      <w:rPr>
        <w:rFonts w:cs="Times New Roman"/>
      </w:rPr>
    </w:lvl>
    <w:lvl w:ilvl="6" w:tplc="FFCE0EE4">
      <w:start w:val="1"/>
      <w:numFmt w:val="decimal"/>
      <w:lvlText w:val="%7."/>
      <w:lvlJc w:val="left"/>
      <w:pPr>
        <w:ind w:left="5760" w:hanging="360"/>
      </w:pPr>
      <w:rPr>
        <w:rFonts w:cs="Times New Roman"/>
      </w:rPr>
    </w:lvl>
    <w:lvl w:ilvl="7" w:tplc="7DA229CE">
      <w:start w:val="1"/>
      <w:numFmt w:val="lowerLetter"/>
      <w:lvlText w:val="%8."/>
      <w:lvlJc w:val="left"/>
      <w:pPr>
        <w:ind w:left="6480" w:hanging="360"/>
      </w:pPr>
      <w:rPr>
        <w:rFonts w:cs="Times New Roman"/>
      </w:rPr>
    </w:lvl>
    <w:lvl w:ilvl="8" w:tplc="1B1EA836">
      <w:start w:val="1"/>
      <w:numFmt w:val="lowerRoman"/>
      <w:lvlText w:val="%9."/>
      <w:lvlJc w:val="right"/>
      <w:pPr>
        <w:ind w:left="7200" w:hanging="180"/>
      </w:pPr>
      <w:rPr>
        <w:rFonts w:cs="Times New Roman"/>
      </w:rPr>
    </w:lvl>
  </w:abstractNum>
  <w:abstractNum w:abstractNumId="29" w15:restartNumberingAfterBreak="0">
    <w:nsid w:val="655D7D6E"/>
    <w:multiLevelType w:val="hybridMultilevel"/>
    <w:tmpl w:val="5B1475AA"/>
    <w:lvl w:ilvl="0" w:tplc="356484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15:restartNumberingAfterBreak="0">
    <w:nsid w:val="66C265CC"/>
    <w:multiLevelType w:val="multilevel"/>
    <w:tmpl w:val="3474C73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89D2C7E"/>
    <w:multiLevelType w:val="hybridMultilevel"/>
    <w:tmpl w:val="76C25054"/>
    <w:lvl w:ilvl="0" w:tplc="0FDA9A1A">
      <w:start w:val="31"/>
      <w:numFmt w:val="bullet"/>
      <w:lvlText w:val="-"/>
      <w:lvlJc w:val="left"/>
      <w:pPr>
        <w:tabs>
          <w:tab w:val="num" w:pos="1263"/>
        </w:tabs>
        <w:ind w:left="1263" w:hanging="708"/>
      </w:pPr>
      <w:rPr>
        <w:rFonts w:ascii="Times New Roman" w:eastAsia="Times New Roman" w:hAnsi="Times New Roman" w:hint="default"/>
      </w:rPr>
    </w:lvl>
    <w:lvl w:ilvl="1" w:tplc="3E1C01A0">
      <w:start w:val="1"/>
      <w:numFmt w:val="bullet"/>
      <w:lvlText w:val="o"/>
      <w:lvlJc w:val="left"/>
      <w:pPr>
        <w:tabs>
          <w:tab w:val="num" w:pos="1635"/>
        </w:tabs>
        <w:ind w:left="1635" w:hanging="360"/>
      </w:pPr>
      <w:rPr>
        <w:rFonts w:ascii="Courier New" w:hAnsi="Courier New" w:hint="default"/>
      </w:rPr>
    </w:lvl>
    <w:lvl w:ilvl="2" w:tplc="B4C6C71E">
      <w:start w:val="1"/>
      <w:numFmt w:val="bullet"/>
      <w:lvlText w:val=""/>
      <w:lvlJc w:val="left"/>
      <w:pPr>
        <w:tabs>
          <w:tab w:val="num" w:pos="2355"/>
        </w:tabs>
        <w:ind w:left="2355" w:hanging="360"/>
      </w:pPr>
      <w:rPr>
        <w:rFonts w:ascii="Wingdings" w:hAnsi="Wingdings" w:hint="default"/>
      </w:rPr>
    </w:lvl>
    <w:lvl w:ilvl="3" w:tplc="7A688056">
      <w:start w:val="1"/>
      <w:numFmt w:val="bullet"/>
      <w:lvlText w:val=""/>
      <w:lvlJc w:val="left"/>
      <w:pPr>
        <w:tabs>
          <w:tab w:val="num" w:pos="3075"/>
        </w:tabs>
        <w:ind w:left="3075" w:hanging="360"/>
      </w:pPr>
      <w:rPr>
        <w:rFonts w:ascii="Symbol" w:hAnsi="Symbol" w:hint="default"/>
      </w:rPr>
    </w:lvl>
    <w:lvl w:ilvl="4" w:tplc="E6525B9E">
      <w:start w:val="1"/>
      <w:numFmt w:val="bullet"/>
      <w:lvlText w:val="o"/>
      <w:lvlJc w:val="left"/>
      <w:pPr>
        <w:tabs>
          <w:tab w:val="num" w:pos="3795"/>
        </w:tabs>
        <w:ind w:left="3795" w:hanging="360"/>
      </w:pPr>
      <w:rPr>
        <w:rFonts w:ascii="Courier New" w:hAnsi="Courier New" w:hint="default"/>
      </w:rPr>
    </w:lvl>
    <w:lvl w:ilvl="5" w:tplc="3632A1DC">
      <w:start w:val="1"/>
      <w:numFmt w:val="bullet"/>
      <w:lvlText w:val=""/>
      <w:lvlJc w:val="left"/>
      <w:pPr>
        <w:tabs>
          <w:tab w:val="num" w:pos="4515"/>
        </w:tabs>
        <w:ind w:left="4515" w:hanging="360"/>
      </w:pPr>
      <w:rPr>
        <w:rFonts w:ascii="Wingdings" w:hAnsi="Wingdings" w:hint="default"/>
      </w:rPr>
    </w:lvl>
    <w:lvl w:ilvl="6" w:tplc="FD52FE30">
      <w:start w:val="1"/>
      <w:numFmt w:val="bullet"/>
      <w:lvlText w:val=""/>
      <w:lvlJc w:val="left"/>
      <w:pPr>
        <w:tabs>
          <w:tab w:val="num" w:pos="5235"/>
        </w:tabs>
        <w:ind w:left="5235" w:hanging="360"/>
      </w:pPr>
      <w:rPr>
        <w:rFonts w:ascii="Symbol" w:hAnsi="Symbol" w:hint="default"/>
      </w:rPr>
    </w:lvl>
    <w:lvl w:ilvl="7" w:tplc="169CD642">
      <w:start w:val="1"/>
      <w:numFmt w:val="bullet"/>
      <w:lvlText w:val="o"/>
      <w:lvlJc w:val="left"/>
      <w:pPr>
        <w:tabs>
          <w:tab w:val="num" w:pos="5955"/>
        </w:tabs>
        <w:ind w:left="5955" w:hanging="360"/>
      </w:pPr>
      <w:rPr>
        <w:rFonts w:ascii="Courier New" w:hAnsi="Courier New" w:hint="default"/>
      </w:rPr>
    </w:lvl>
    <w:lvl w:ilvl="8" w:tplc="5CB64EBE">
      <w:start w:val="1"/>
      <w:numFmt w:val="bullet"/>
      <w:lvlText w:val=""/>
      <w:lvlJc w:val="left"/>
      <w:pPr>
        <w:tabs>
          <w:tab w:val="num" w:pos="6675"/>
        </w:tabs>
        <w:ind w:left="6675" w:hanging="360"/>
      </w:pPr>
      <w:rPr>
        <w:rFonts w:ascii="Wingdings" w:hAnsi="Wingdings" w:hint="default"/>
      </w:rPr>
    </w:lvl>
  </w:abstractNum>
  <w:abstractNum w:abstractNumId="32" w15:restartNumberingAfterBreak="0">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31"/>
  </w:num>
  <w:num w:numId="8">
    <w:abstractNumId w:val="26"/>
  </w:num>
  <w:num w:numId="9">
    <w:abstractNumId w:val="20"/>
  </w:num>
  <w:num w:numId="10">
    <w:abstractNumId w:val="28"/>
  </w:num>
  <w:num w:numId="11">
    <w:abstractNumId w:val="16"/>
  </w:num>
  <w:num w:numId="12">
    <w:abstractNumId w:val="22"/>
  </w:num>
  <w:num w:numId="13">
    <w:abstractNumId w:val="17"/>
  </w:num>
  <w:num w:numId="14">
    <w:abstractNumId w:val="24"/>
  </w:num>
  <w:num w:numId="15">
    <w:abstractNumId w:val="10"/>
  </w:num>
  <w:num w:numId="16">
    <w:abstractNumId w:val="5"/>
  </w:num>
  <w:num w:numId="17">
    <w:abstractNumId w:val="12"/>
  </w:num>
  <w:num w:numId="18">
    <w:abstractNumId w:val="9"/>
  </w:num>
  <w:num w:numId="19">
    <w:abstractNumId w:val="11"/>
  </w:num>
  <w:num w:numId="20">
    <w:abstractNumId w:val="14"/>
  </w:num>
  <w:num w:numId="21">
    <w:abstractNumId w:val="7"/>
  </w:num>
  <w:num w:numId="22">
    <w:abstractNumId w:val="8"/>
  </w:num>
  <w:num w:numId="23">
    <w:abstractNumId w:val="30"/>
  </w:num>
  <w:num w:numId="24">
    <w:abstractNumId w:val="25"/>
  </w:num>
  <w:num w:numId="25">
    <w:abstractNumId w:val="2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2"/>
  </w:num>
  <w:num w:numId="29">
    <w:abstractNumId w:val="15"/>
  </w:num>
  <w:num w:numId="30">
    <w:abstractNumId w:val="18"/>
  </w:num>
  <w:num w:numId="31">
    <w:abstractNumId w:val="29"/>
  </w:num>
  <w:num w:numId="32">
    <w:abstractNumId w:val="13"/>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7915"/>
    <w:rsid w:val="00000394"/>
    <w:rsid w:val="00002B4B"/>
    <w:rsid w:val="00010933"/>
    <w:rsid w:val="00010B43"/>
    <w:rsid w:val="00013BD6"/>
    <w:rsid w:val="00015D1C"/>
    <w:rsid w:val="00022BB1"/>
    <w:rsid w:val="000232D7"/>
    <w:rsid w:val="00024EE4"/>
    <w:rsid w:val="0002628D"/>
    <w:rsid w:val="00031D84"/>
    <w:rsid w:val="0003303A"/>
    <w:rsid w:val="00034EAD"/>
    <w:rsid w:val="00036E3D"/>
    <w:rsid w:val="00041839"/>
    <w:rsid w:val="00041CCB"/>
    <w:rsid w:val="0004400A"/>
    <w:rsid w:val="00044A33"/>
    <w:rsid w:val="00045333"/>
    <w:rsid w:val="00046503"/>
    <w:rsid w:val="00046726"/>
    <w:rsid w:val="000526CA"/>
    <w:rsid w:val="000610CC"/>
    <w:rsid w:val="0006262F"/>
    <w:rsid w:val="000662D5"/>
    <w:rsid w:val="000663F2"/>
    <w:rsid w:val="0006724E"/>
    <w:rsid w:val="00072A21"/>
    <w:rsid w:val="00075A1F"/>
    <w:rsid w:val="00075FDE"/>
    <w:rsid w:val="00076410"/>
    <w:rsid w:val="00080F02"/>
    <w:rsid w:val="00082522"/>
    <w:rsid w:val="00082D84"/>
    <w:rsid w:val="00083C22"/>
    <w:rsid w:val="0008594A"/>
    <w:rsid w:val="00086486"/>
    <w:rsid w:val="00092361"/>
    <w:rsid w:val="0009591F"/>
    <w:rsid w:val="000968E1"/>
    <w:rsid w:val="00096C7A"/>
    <w:rsid w:val="000A054D"/>
    <w:rsid w:val="000A06D8"/>
    <w:rsid w:val="000A0ECA"/>
    <w:rsid w:val="000A2C25"/>
    <w:rsid w:val="000A45C2"/>
    <w:rsid w:val="000B0116"/>
    <w:rsid w:val="000B47D4"/>
    <w:rsid w:val="000B6649"/>
    <w:rsid w:val="000C0008"/>
    <w:rsid w:val="000C0F04"/>
    <w:rsid w:val="000C2096"/>
    <w:rsid w:val="000C607D"/>
    <w:rsid w:val="000C670C"/>
    <w:rsid w:val="000C72C1"/>
    <w:rsid w:val="000D5986"/>
    <w:rsid w:val="000D5FEE"/>
    <w:rsid w:val="000D6956"/>
    <w:rsid w:val="000D72EF"/>
    <w:rsid w:val="000D7CAF"/>
    <w:rsid w:val="000E1284"/>
    <w:rsid w:val="000E1A0C"/>
    <w:rsid w:val="000E1C32"/>
    <w:rsid w:val="000E4BDE"/>
    <w:rsid w:val="000E5ECF"/>
    <w:rsid w:val="000F5238"/>
    <w:rsid w:val="000F57BD"/>
    <w:rsid w:val="000F5CF1"/>
    <w:rsid w:val="000F5E2E"/>
    <w:rsid w:val="00101D6A"/>
    <w:rsid w:val="00102F34"/>
    <w:rsid w:val="001034AE"/>
    <w:rsid w:val="00107592"/>
    <w:rsid w:val="00107892"/>
    <w:rsid w:val="00112CDA"/>
    <w:rsid w:val="00120ADC"/>
    <w:rsid w:val="00122782"/>
    <w:rsid w:val="0012763A"/>
    <w:rsid w:val="001345E6"/>
    <w:rsid w:val="00140190"/>
    <w:rsid w:val="00141759"/>
    <w:rsid w:val="0014176C"/>
    <w:rsid w:val="001449A5"/>
    <w:rsid w:val="00146A1E"/>
    <w:rsid w:val="00152C3F"/>
    <w:rsid w:val="0016458A"/>
    <w:rsid w:val="00165D08"/>
    <w:rsid w:val="00177180"/>
    <w:rsid w:val="00187D0C"/>
    <w:rsid w:val="00195892"/>
    <w:rsid w:val="00195D5E"/>
    <w:rsid w:val="001A1750"/>
    <w:rsid w:val="001A2DED"/>
    <w:rsid w:val="001A4FD7"/>
    <w:rsid w:val="001B2214"/>
    <w:rsid w:val="001B27CD"/>
    <w:rsid w:val="001C1933"/>
    <w:rsid w:val="001C2EFC"/>
    <w:rsid w:val="001C4995"/>
    <w:rsid w:val="001C4E64"/>
    <w:rsid w:val="001C66E6"/>
    <w:rsid w:val="001C7D9F"/>
    <w:rsid w:val="001D0121"/>
    <w:rsid w:val="001D3591"/>
    <w:rsid w:val="001D3A04"/>
    <w:rsid w:val="001D3AB5"/>
    <w:rsid w:val="001D4853"/>
    <w:rsid w:val="001D500C"/>
    <w:rsid w:val="001D7559"/>
    <w:rsid w:val="001E2AF4"/>
    <w:rsid w:val="001F383C"/>
    <w:rsid w:val="001F3D8D"/>
    <w:rsid w:val="001F4738"/>
    <w:rsid w:val="00201360"/>
    <w:rsid w:val="00204C7A"/>
    <w:rsid w:val="00206A8B"/>
    <w:rsid w:val="00212C97"/>
    <w:rsid w:val="00212D04"/>
    <w:rsid w:val="00215D5D"/>
    <w:rsid w:val="00222157"/>
    <w:rsid w:val="0023495C"/>
    <w:rsid w:val="002378D3"/>
    <w:rsid w:val="00240AAE"/>
    <w:rsid w:val="00241DD1"/>
    <w:rsid w:val="002455E4"/>
    <w:rsid w:val="00246FB4"/>
    <w:rsid w:val="00254975"/>
    <w:rsid w:val="0025568C"/>
    <w:rsid w:val="00255ECC"/>
    <w:rsid w:val="002570EB"/>
    <w:rsid w:val="00266D9A"/>
    <w:rsid w:val="00275F42"/>
    <w:rsid w:val="0028173F"/>
    <w:rsid w:val="002845B8"/>
    <w:rsid w:val="0028517E"/>
    <w:rsid w:val="002861E9"/>
    <w:rsid w:val="002A054F"/>
    <w:rsid w:val="002A0766"/>
    <w:rsid w:val="002A14C9"/>
    <w:rsid w:val="002A2140"/>
    <w:rsid w:val="002A7683"/>
    <w:rsid w:val="002B1012"/>
    <w:rsid w:val="002B39F8"/>
    <w:rsid w:val="002B5410"/>
    <w:rsid w:val="002C07B5"/>
    <w:rsid w:val="002C2A23"/>
    <w:rsid w:val="002D06C2"/>
    <w:rsid w:val="002D162C"/>
    <w:rsid w:val="002D1B46"/>
    <w:rsid w:val="002D20BA"/>
    <w:rsid w:val="002E0C86"/>
    <w:rsid w:val="002E1B8A"/>
    <w:rsid w:val="002E1EB8"/>
    <w:rsid w:val="002E3461"/>
    <w:rsid w:val="002E5EA7"/>
    <w:rsid w:val="002E7B8D"/>
    <w:rsid w:val="002F5F27"/>
    <w:rsid w:val="002F68E5"/>
    <w:rsid w:val="002F7799"/>
    <w:rsid w:val="0030364A"/>
    <w:rsid w:val="00311F27"/>
    <w:rsid w:val="003125BE"/>
    <w:rsid w:val="00315346"/>
    <w:rsid w:val="00320C3D"/>
    <w:rsid w:val="00321094"/>
    <w:rsid w:val="00330360"/>
    <w:rsid w:val="003351FB"/>
    <w:rsid w:val="003441B3"/>
    <w:rsid w:val="0035022F"/>
    <w:rsid w:val="003510DE"/>
    <w:rsid w:val="00353880"/>
    <w:rsid w:val="0035755C"/>
    <w:rsid w:val="00357C84"/>
    <w:rsid w:val="00357D1E"/>
    <w:rsid w:val="00360005"/>
    <w:rsid w:val="00364F22"/>
    <w:rsid w:val="003718E3"/>
    <w:rsid w:val="00372377"/>
    <w:rsid w:val="00377C3F"/>
    <w:rsid w:val="00380065"/>
    <w:rsid w:val="00380E58"/>
    <w:rsid w:val="00385BEC"/>
    <w:rsid w:val="00390882"/>
    <w:rsid w:val="003909A2"/>
    <w:rsid w:val="003A6270"/>
    <w:rsid w:val="003A7188"/>
    <w:rsid w:val="003B1CC0"/>
    <w:rsid w:val="003B1E2C"/>
    <w:rsid w:val="003B5088"/>
    <w:rsid w:val="003B640D"/>
    <w:rsid w:val="003C42AD"/>
    <w:rsid w:val="003C56EC"/>
    <w:rsid w:val="003C5A38"/>
    <w:rsid w:val="003D2FD6"/>
    <w:rsid w:val="003E2F8A"/>
    <w:rsid w:val="003E2FCB"/>
    <w:rsid w:val="003E5156"/>
    <w:rsid w:val="003F5C61"/>
    <w:rsid w:val="003F7FF7"/>
    <w:rsid w:val="00401B73"/>
    <w:rsid w:val="00402AA0"/>
    <w:rsid w:val="00402FAE"/>
    <w:rsid w:val="00403D32"/>
    <w:rsid w:val="00410591"/>
    <w:rsid w:val="0041443E"/>
    <w:rsid w:val="0041579B"/>
    <w:rsid w:val="00416647"/>
    <w:rsid w:val="004178A1"/>
    <w:rsid w:val="00420155"/>
    <w:rsid w:val="00423258"/>
    <w:rsid w:val="0042702F"/>
    <w:rsid w:val="004278BC"/>
    <w:rsid w:val="00430548"/>
    <w:rsid w:val="004335BD"/>
    <w:rsid w:val="00437915"/>
    <w:rsid w:val="00446E71"/>
    <w:rsid w:val="00452537"/>
    <w:rsid w:val="00452970"/>
    <w:rsid w:val="00453AF0"/>
    <w:rsid w:val="004574ED"/>
    <w:rsid w:val="004613CF"/>
    <w:rsid w:val="00461B94"/>
    <w:rsid w:val="00465A5A"/>
    <w:rsid w:val="00466460"/>
    <w:rsid w:val="00467B4B"/>
    <w:rsid w:val="004704D7"/>
    <w:rsid w:val="00472041"/>
    <w:rsid w:val="00475E13"/>
    <w:rsid w:val="00481149"/>
    <w:rsid w:val="00481A05"/>
    <w:rsid w:val="0048452C"/>
    <w:rsid w:val="00486AE5"/>
    <w:rsid w:val="00486F69"/>
    <w:rsid w:val="004876A4"/>
    <w:rsid w:val="0049176A"/>
    <w:rsid w:val="00492B92"/>
    <w:rsid w:val="004953F1"/>
    <w:rsid w:val="0049604C"/>
    <w:rsid w:val="00496C3D"/>
    <w:rsid w:val="00496C96"/>
    <w:rsid w:val="0049701B"/>
    <w:rsid w:val="004A0E6C"/>
    <w:rsid w:val="004A136B"/>
    <w:rsid w:val="004A47AA"/>
    <w:rsid w:val="004B05B8"/>
    <w:rsid w:val="004B1E29"/>
    <w:rsid w:val="004B3DEB"/>
    <w:rsid w:val="004B4CBE"/>
    <w:rsid w:val="004B54BC"/>
    <w:rsid w:val="004B6D6F"/>
    <w:rsid w:val="004B750A"/>
    <w:rsid w:val="004B75F0"/>
    <w:rsid w:val="004C06C1"/>
    <w:rsid w:val="004D30AF"/>
    <w:rsid w:val="004D3DF2"/>
    <w:rsid w:val="004D4656"/>
    <w:rsid w:val="004D726E"/>
    <w:rsid w:val="004D7741"/>
    <w:rsid w:val="004E0A35"/>
    <w:rsid w:val="004E35C8"/>
    <w:rsid w:val="004E400E"/>
    <w:rsid w:val="004F12B6"/>
    <w:rsid w:val="004F22CA"/>
    <w:rsid w:val="004F79F4"/>
    <w:rsid w:val="00501370"/>
    <w:rsid w:val="0050162C"/>
    <w:rsid w:val="00514F0B"/>
    <w:rsid w:val="00516167"/>
    <w:rsid w:val="00516DB8"/>
    <w:rsid w:val="0051759E"/>
    <w:rsid w:val="00524FC5"/>
    <w:rsid w:val="0052601C"/>
    <w:rsid w:val="00527D5D"/>
    <w:rsid w:val="00534ECB"/>
    <w:rsid w:val="0053537B"/>
    <w:rsid w:val="00536586"/>
    <w:rsid w:val="0054422F"/>
    <w:rsid w:val="00544AD3"/>
    <w:rsid w:val="005461F2"/>
    <w:rsid w:val="00547FFC"/>
    <w:rsid w:val="00554CA2"/>
    <w:rsid w:val="0055586B"/>
    <w:rsid w:val="00557119"/>
    <w:rsid w:val="00561494"/>
    <w:rsid w:val="00561DB2"/>
    <w:rsid w:val="00562B21"/>
    <w:rsid w:val="00571D5E"/>
    <w:rsid w:val="0058075F"/>
    <w:rsid w:val="00580EC3"/>
    <w:rsid w:val="00581DAF"/>
    <w:rsid w:val="00583C96"/>
    <w:rsid w:val="0058594D"/>
    <w:rsid w:val="00585AFD"/>
    <w:rsid w:val="00586A27"/>
    <w:rsid w:val="00586C5B"/>
    <w:rsid w:val="00591059"/>
    <w:rsid w:val="00591713"/>
    <w:rsid w:val="0059190E"/>
    <w:rsid w:val="005942C7"/>
    <w:rsid w:val="005A1079"/>
    <w:rsid w:val="005A1B72"/>
    <w:rsid w:val="005A47B8"/>
    <w:rsid w:val="005B2AF2"/>
    <w:rsid w:val="005B538F"/>
    <w:rsid w:val="005B5FE5"/>
    <w:rsid w:val="005B63C1"/>
    <w:rsid w:val="005B6AAD"/>
    <w:rsid w:val="005C1808"/>
    <w:rsid w:val="005D02E8"/>
    <w:rsid w:val="005D23E8"/>
    <w:rsid w:val="005D2C89"/>
    <w:rsid w:val="005E0CD7"/>
    <w:rsid w:val="005E210F"/>
    <w:rsid w:val="005E41F3"/>
    <w:rsid w:val="005E43EF"/>
    <w:rsid w:val="005E7780"/>
    <w:rsid w:val="005F1C6A"/>
    <w:rsid w:val="005F27AA"/>
    <w:rsid w:val="005F3E09"/>
    <w:rsid w:val="005F4582"/>
    <w:rsid w:val="005F6464"/>
    <w:rsid w:val="005F6505"/>
    <w:rsid w:val="005F7CC8"/>
    <w:rsid w:val="00601BCC"/>
    <w:rsid w:val="00603C20"/>
    <w:rsid w:val="00606639"/>
    <w:rsid w:val="006105C8"/>
    <w:rsid w:val="0061395F"/>
    <w:rsid w:val="00614120"/>
    <w:rsid w:val="0061499B"/>
    <w:rsid w:val="00616C7B"/>
    <w:rsid w:val="00626073"/>
    <w:rsid w:val="00632A93"/>
    <w:rsid w:val="00634664"/>
    <w:rsid w:val="00635424"/>
    <w:rsid w:val="00637093"/>
    <w:rsid w:val="006504B7"/>
    <w:rsid w:val="00651C02"/>
    <w:rsid w:val="00652704"/>
    <w:rsid w:val="00662039"/>
    <w:rsid w:val="00666AA5"/>
    <w:rsid w:val="00672373"/>
    <w:rsid w:val="00674902"/>
    <w:rsid w:val="00675E65"/>
    <w:rsid w:val="0068768B"/>
    <w:rsid w:val="00690189"/>
    <w:rsid w:val="0069157B"/>
    <w:rsid w:val="00693CFC"/>
    <w:rsid w:val="006975E2"/>
    <w:rsid w:val="006A003C"/>
    <w:rsid w:val="006A3335"/>
    <w:rsid w:val="006B0407"/>
    <w:rsid w:val="006B3C2B"/>
    <w:rsid w:val="006B6FE0"/>
    <w:rsid w:val="006C1922"/>
    <w:rsid w:val="006C364A"/>
    <w:rsid w:val="006C5862"/>
    <w:rsid w:val="006D2EB1"/>
    <w:rsid w:val="006D4C50"/>
    <w:rsid w:val="006D54D6"/>
    <w:rsid w:val="006D67A1"/>
    <w:rsid w:val="006D7E5D"/>
    <w:rsid w:val="006F240A"/>
    <w:rsid w:val="006F307D"/>
    <w:rsid w:val="006F43A9"/>
    <w:rsid w:val="006F6DE2"/>
    <w:rsid w:val="00703DAE"/>
    <w:rsid w:val="00704CF3"/>
    <w:rsid w:val="0070601E"/>
    <w:rsid w:val="00712E10"/>
    <w:rsid w:val="00714354"/>
    <w:rsid w:val="0071522A"/>
    <w:rsid w:val="00723DED"/>
    <w:rsid w:val="007256C8"/>
    <w:rsid w:val="00726583"/>
    <w:rsid w:val="0073229C"/>
    <w:rsid w:val="00733608"/>
    <w:rsid w:val="00733DC3"/>
    <w:rsid w:val="007342FB"/>
    <w:rsid w:val="0073771C"/>
    <w:rsid w:val="00740A5E"/>
    <w:rsid w:val="00742F30"/>
    <w:rsid w:val="007439D4"/>
    <w:rsid w:val="007459D8"/>
    <w:rsid w:val="0074753A"/>
    <w:rsid w:val="007478F4"/>
    <w:rsid w:val="00750158"/>
    <w:rsid w:val="007516AE"/>
    <w:rsid w:val="0075742D"/>
    <w:rsid w:val="007637AB"/>
    <w:rsid w:val="00763AB5"/>
    <w:rsid w:val="0076710C"/>
    <w:rsid w:val="00770FED"/>
    <w:rsid w:val="0077106A"/>
    <w:rsid w:val="007725AB"/>
    <w:rsid w:val="00777210"/>
    <w:rsid w:val="00782A10"/>
    <w:rsid w:val="00785DC3"/>
    <w:rsid w:val="007915DF"/>
    <w:rsid w:val="007944CE"/>
    <w:rsid w:val="00796D11"/>
    <w:rsid w:val="00797EC9"/>
    <w:rsid w:val="007A3B66"/>
    <w:rsid w:val="007A6C6D"/>
    <w:rsid w:val="007A77E8"/>
    <w:rsid w:val="007B32AC"/>
    <w:rsid w:val="007B5FEC"/>
    <w:rsid w:val="007B7184"/>
    <w:rsid w:val="007B728F"/>
    <w:rsid w:val="007C1740"/>
    <w:rsid w:val="007C34C6"/>
    <w:rsid w:val="007C3A5A"/>
    <w:rsid w:val="007C407C"/>
    <w:rsid w:val="007C6E88"/>
    <w:rsid w:val="007D04AA"/>
    <w:rsid w:val="007D39CD"/>
    <w:rsid w:val="007D3E91"/>
    <w:rsid w:val="007D432F"/>
    <w:rsid w:val="007E573A"/>
    <w:rsid w:val="007E714E"/>
    <w:rsid w:val="007E741E"/>
    <w:rsid w:val="007E7F42"/>
    <w:rsid w:val="007F0847"/>
    <w:rsid w:val="007F3117"/>
    <w:rsid w:val="007F53F6"/>
    <w:rsid w:val="007F5B4C"/>
    <w:rsid w:val="00800B3E"/>
    <w:rsid w:val="00803092"/>
    <w:rsid w:val="0080359A"/>
    <w:rsid w:val="00805885"/>
    <w:rsid w:val="00807003"/>
    <w:rsid w:val="008105E0"/>
    <w:rsid w:val="0081321D"/>
    <w:rsid w:val="00823062"/>
    <w:rsid w:val="008243F2"/>
    <w:rsid w:val="00827B92"/>
    <w:rsid w:val="00831795"/>
    <w:rsid w:val="00831DE7"/>
    <w:rsid w:val="00833A07"/>
    <w:rsid w:val="00834A02"/>
    <w:rsid w:val="00835383"/>
    <w:rsid w:val="008421CF"/>
    <w:rsid w:val="00843AD2"/>
    <w:rsid w:val="00844554"/>
    <w:rsid w:val="0084488F"/>
    <w:rsid w:val="008463BE"/>
    <w:rsid w:val="008475E4"/>
    <w:rsid w:val="00850566"/>
    <w:rsid w:val="00856E6E"/>
    <w:rsid w:val="00860283"/>
    <w:rsid w:val="00860516"/>
    <w:rsid w:val="00866DCB"/>
    <w:rsid w:val="00870E64"/>
    <w:rsid w:val="00870FD9"/>
    <w:rsid w:val="00873316"/>
    <w:rsid w:val="00876DC4"/>
    <w:rsid w:val="00882E92"/>
    <w:rsid w:val="008836CC"/>
    <w:rsid w:val="0089589D"/>
    <w:rsid w:val="008965C2"/>
    <w:rsid w:val="008A0EC4"/>
    <w:rsid w:val="008A272C"/>
    <w:rsid w:val="008A5B71"/>
    <w:rsid w:val="008A7CE2"/>
    <w:rsid w:val="008B07AD"/>
    <w:rsid w:val="008B198E"/>
    <w:rsid w:val="008C0557"/>
    <w:rsid w:val="008C088A"/>
    <w:rsid w:val="008C115C"/>
    <w:rsid w:val="008C1DFB"/>
    <w:rsid w:val="008C2900"/>
    <w:rsid w:val="008E11F7"/>
    <w:rsid w:val="008E1C11"/>
    <w:rsid w:val="0090076B"/>
    <w:rsid w:val="009055AB"/>
    <w:rsid w:val="0090695D"/>
    <w:rsid w:val="00906A64"/>
    <w:rsid w:val="00906B80"/>
    <w:rsid w:val="00910A58"/>
    <w:rsid w:val="00911F3B"/>
    <w:rsid w:val="00913ABC"/>
    <w:rsid w:val="00915E69"/>
    <w:rsid w:val="009220CF"/>
    <w:rsid w:val="00925CFB"/>
    <w:rsid w:val="00931B4F"/>
    <w:rsid w:val="00931B62"/>
    <w:rsid w:val="00932640"/>
    <w:rsid w:val="00932899"/>
    <w:rsid w:val="0094161E"/>
    <w:rsid w:val="00942417"/>
    <w:rsid w:val="00951AE4"/>
    <w:rsid w:val="00962D44"/>
    <w:rsid w:val="009633C1"/>
    <w:rsid w:val="00963F58"/>
    <w:rsid w:val="009647F0"/>
    <w:rsid w:val="00965F98"/>
    <w:rsid w:val="00966B26"/>
    <w:rsid w:val="009748E9"/>
    <w:rsid w:val="009803FC"/>
    <w:rsid w:val="009805BB"/>
    <w:rsid w:val="0098141E"/>
    <w:rsid w:val="009855EC"/>
    <w:rsid w:val="0098641B"/>
    <w:rsid w:val="00986F3C"/>
    <w:rsid w:val="009A40CF"/>
    <w:rsid w:val="009A731A"/>
    <w:rsid w:val="009A7F06"/>
    <w:rsid w:val="009B4B15"/>
    <w:rsid w:val="009C0825"/>
    <w:rsid w:val="009C38E7"/>
    <w:rsid w:val="009C5C89"/>
    <w:rsid w:val="009C7BD6"/>
    <w:rsid w:val="009D2D23"/>
    <w:rsid w:val="009D2F74"/>
    <w:rsid w:val="009D5B8B"/>
    <w:rsid w:val="009D6B6F"/>
    <w:rsid w:val="009E220C"/>
    <w:rsid w:val="009E2410"/>
    <w:rsid w:val="009E405C"/>
    <w:rsid w:val="009E40C5"/>
    <w:rsid w:val="009E576F"/>
    <w:rsid w:val="009E6E78"/>
    <w:rsid w:val="009F076D"/>
    <w:rsid w:val="009F1556"/>
    <w:rsid w:val="009F1BE8"/>
    <w:rsid w:val="009F2380"/>
    <w:rsid w:val="009F2460"/>
    <w:rsid w:val="00A004B8"/>
    <w:rsid w:val="00A00D1E"/>
    <w:rsid w:val="00A01287"/>
    <w:rsid w:val="00A037CA"/>
    <w:rsid w:val="00A1036C"/>
    <w:rsid w:val="00A12CA4"/>
    <w:rsid w:val="00A14909"/>
    <w:rsid w:val="00A15566"/>
    <w:rsid w:val="00A17A39"/>
    <w:rsid w:val="00A22095"/>
    <w:rsid w:val="00A23455"/>
    <w:rsid w:val="00A328AE"/>
    <w:rsid w:val="00A339E3"/>
    <w:rsid w:val="00A34210"/>
    <w:rsid w:val="00A348B3"/>
    <w:rsid w:val="00A36514"/>
    <w:rsid w:val="00A42547"/>
    <w:rsid w:val="00A43060"/>
    <w:rsid w:val="00A45684"/>
    <w:rsid w:val="00A525BA"/>
    <w:rsid w:val="00A573CB"/>
    <w:rsid w:val="00A57522"/>
    <w:rsid w:val="00A62782"/>
    <w:rsid w:val="00A65D74"/>
    <w:rsid w:val="00A66548"/>
    <w:rsid w:val="00A72B53"/>
    <w:rsid w:val="00A73FB6"/>
    <w:rsid w:val="00A75F47"/>
    <w:rsid w:val="00A77736"/>
    <w:rsid w:val="00A820B0"/>
    <w:rsid w:val="00A83A73"/>
    <w:rsid w:val="00A8404E"/>
    <w:rsid w:val="00A86411"/>
    <w:rsid w:val="00A86524"/>
    <w:rsid w:val="00A91919"/>
    <w:rsid w:val="00A92C2E"/>
    <w:rsid w:val="00A94EC1"/>
    <w:rsid w:val="00A964E3"/>
    <w:rsid w:val="00A96570"/>
    <w:rsid w:val="00AA4483"/>
    <w:rsid w:val="00AA449F"/>
    <w:rsid w:val="00AA5013"/>
    <w:rsid w:val="00AA6080"/>
    <w:rsid w:val="00AB53DB"/>
    <w:rsid w:val="00AC16B4"/>
    <w:rsid w:val="00AC1764"/>
    <w:rsid w:val="00AC199A"/>
    <w:rsid w:val="00AC1CB1"/>
    <w:rsid w:val="00AC2065"/>
    <w:rsid w:val="00AD6F7B"/>
    <w:rsid w:val="00AD7AF2"/>
    <w:rsid w:val="00AE02E4"/>
    <w:rsid w:val="00AE15B6"/>
    <w:rsid w:val="00AE2775"/>
    <w:rsid w:val="00AE518A"/>
    <w:rsid w:val="00AE61F3"/>
    <w:rsid w:val="00AF24EB"/>
    <w:rsid w:val="00AF3A24"/>
    <w:rsid w:val="00AF519E"/>
    <w:rsid w:val="00AF7D60"/>
    <w:rsid w:val="00B00E6F"/>
    <w:rsid w:val="00B0110D"/>
    <w:rsid w:val="00B03AE5"/>
    <w:rsid w:val="00B043C3"/>
    <w:rsid w:val="00B068A9"/>
    <w:rsid w:val="00B121F7"/>
    <w:rsid w:val="00B17C2E"/>
    <w:rsid w:val="00B209AF"/>
    <w:rsid w:val="00B20F1C"/>
    <w:rsid w:val="00B21CB5"/>
    <w:rsid w:val="00B274B7"/>
    <w:rsid w:val="00B3076B"/>
    <w:rsid w:val="00B31886"/>
    <w:rsid w:val="00B34B5E"/>
    <w:rsid w:val="00B34B81"/>
    <w:rsid w:val="00B35C05"/>
    <w:rsid w:val="00B377F3"/>
    <w:rsid w:val="00B4440F"/>
    <w:rsid w:val="00B46EC5"/>
    <w:rsid w:val="00B46F25"/>
    <w:rsid w:val="00B50807"/>
    <w:rsid w:val="00B5084C"/>
    <w:rsid w:val="00B50E3A"/>
    <w:rsid w:val="00B5729B"/>
    <w:rsid w:val="00B627AD"/>
    <w:rsid w:val="00B64E0F"/>
    <w:rsid w:val="00B661CD"/>
    <w:rsid w:val="00B70B3C"/>
    <w:rsid w:val="00B71794"/>
    <w:rsid w:val="00B719A7"/>
    <w:rsid w:val="00B754B6"/>
    <w:rsid w:val="00B75E88"/>
    <w:rsid w:val="00B822F7"/>
    <w:rsid w:val="00B853EA"/>
    <w:rsid w:val="00B914A5"/>
    <w:rsid w:val="00B966DE"/>
    <w:rsid w:val="00B96920"/>
    <w:rsid w:val="00BA0677"/>
    <w:rsid w:val="00BA1E93"/>
    <w:rsid w:val="00BA29C2"/>
    <w:rsid w:val="00BA2F46"/>
    <w:rsid w:val="00BA336F"/>
    <w:rsid w:val="00BA53F3"/>
    <w:rsid w:val="00BA78FD"/>
    <w:rsid w:val="00BB07C6"/>
    <w:rsid w:val="00BB53D7"/>
    <w:rsid w:val="00BC18B9"/>
    <w:rsid w:val="00BC38CB"/>
    <w:rsid w:val="00BC756E"/>
    <w:rsid w:val="00BD1087"/>
    <w:rsid w:val="00BD2265"/>
    <w:rsid w:val="00BD34B9"/>
    <w:rsid w:val="00BD3B53"/>
    <w:rsid w:val="00BD51DA"/>
    <w:rsid w:val="00BE4DF5"/>
    <w:rsid w:val="00BF08E8"/>
    <w:rsid w:val="00BF311A"/>
    <w:rsid w:val="00BF3CD9"/>
    <w:rsid w:val="00BF5143"/>
    <w:rsid w:val="00C04DEA"/>
    <w:rsid w:val="00C06AE5"/>
    <w:rsid w:val="00C10010"/>
    <w:rsid w:val="00C1494B"/>
    <w:rsid w:val="00C23F5E"/>
    <w:rsid w:val="00C257EE"/>
    <w:rsid w:val="00C26753"/>
    <w:rsid w:val="00C345F8"/>
    <w:rsid w:val="00C36D85"/>
    <w:rsid w:val="00C40FA0"/>
    <w:rsid w:val="00C41C60"/>
    <w:rsid w:val="00C42918"/>
    <w:rsid w:val="00C45331"/>
    <w:rsid w:val="00C4689B"/>
    <w:rsid w:val="00C50430"/>
    <w:rsid w:val="00C50F4B"/>
    <w:rsid w:val="00C60A1C"/>
    <w:rsid w:val="00C67A02"/>
    <w:rsid w:val="00C71F08"/>
    <w:rsid w:val="00C777B4"/>
    <w:rsid w:val="00C835B4"/>
    <w:rsid w:val="00C858F0"/>
    <w:rsid w:val="00C93AC9"/>
    <w:rsid w:val="00C93D49"/>
    <w:rsid w:val="00CA24F9"/>
    <w:rsid w:val="00CA2F15"/>
    <w:rsid w:val="00CA5D30"/>
    <w:rsid w:val="00CA67CC"/>
    <w:rsid w:val="00CB0C09"/>
    <w:rsid w:val="00CB1601"/>
    <w:rsid w:val="00CB1CDC"/>
    <w:rsid w:val="00CC0211"/>
    <w:rsid w:val="00CC3301"/>
    <w:rsid w:val="00CC4ADB"/>
    <w:rsid w:val="00CC4F5C"/>
    <w:rsid w:val="00CC7BA1"/>
    <w:rsid w:val="00CD01E8"/>
    <w:rsid w:val="00CD0898"/>
    <w:rsid w:val="00CD595D"/>
    <w:rsid w:val="00CD719B"/>
    <w:rsid w:val="00CD7EA3"/>
    <w:rsid w:val="00CE361C"/>
    <w:rsid w:val="00CE5F53"/>
    <w:rsid w:val="00CF216F"/>
    <w:rsid w:val="00CF3BC3"/>
    <w:rsid w:val="00D00373"/>
    <w:rsid w:val="00D00A79"/>
    <w:rsid w:val="00D027C1"/>
    <w:rsid w:val="00D02DB1"/>
    <w:rsid w:val="00D03672"/>
    <w:rsid w:val="00D0650A"/>
    <w:rsid w:val="00D06D4B"/>
    <w:rsid w:val="00D07DE4"/>
    <w:rsid w:val="00D121D4"/>
    <w:rsid w:val="00D146AC"/>
    <w:rsid w:val="00D21EEA"/>
    <w:rsid w:val="00D26BED"/>
    <w:rsid w:val="00D31604"/>
    <w:rsid w:val="00D3593C"/>
    <w:rsid w:val="00D36F1C"/>
    <w:rsid w:val="00D420B4"/>
    <w:rsid w:val="00D422A4"/>
    <w:rsid w:val="00D45212"/>
    <w:rsid w:val="00D52510"/>
    <w:rsid w:val="00D52F96"/>
    <w:rsid w:val="00D53972"/>
    <w:rsid w:val="00D5465E"/>
    <w:rsid w:val="00D572BD"/>
    <w:rsid w:val="00D573BC"/>
    <w:rsid w:val="00D62481"/>
    <w:rsid w:val="00D629D1"/>
    <w:rsid w:val="00D6403C"/>
    <w:rsid w:val="00D67243"/>
    <w:rsid w:val="00D802A5"/>
    <w:rsid w:val="00D81E9C"/>
    <w:rsid w:val="00D871DE"/>
    <w:rsid w:val="00D95D55"/>
    <w:rsid w:val="00DA47AC"/>
    <w:rsid w:val="00DA724F"/>
    <w:rsid w:val="00DB118C"/>
    <w:rsid w:val="00DB3817"/>
    <w:rsid w:val="00DB5E39"/>
    <w:rsid w:val="00DC44C3"/>
    <w:rsid w:val="00DC664C"/>
    <w:rsid w:val="00DC760C"/>
    <w:rsid w:val="00DE1F18"/>
    <w:rsid w:val="00DE2870"/>
    <w:rsid w:val="00DE3A94"/>
    <w:rsid w:val="00DE461C"/>
    <w:rsid w:val="00DE5620"/>
    <w:rsid w:val="00DE6768"/>
    <w:rsid w:val="00DF0E67"/>
    <w:rsid w:val="00DF523D"/>
    <w:rsid w:val="00DF5DF1"/>
    <w:rsid w:val="00DF78D5"/>
    <w:rsid w:val="00E026C1"/>
    <w:rsid w:val="00E10BED"/>
    <w:rsid w:val="00E11471"/>
    <w:rsid w:val="00E158F8"/>
    <w:rsid w:val="00E16B6C"/>
    <w:rsid w:val="00E200CD"/>
    <w:rsid w:val="00E221ED"/>
    <w:rsid w:val="00E2287D"/>
    <w:rsid w:val="00E23936"/>
    <w:rsid w:val="00E24A1D"/>
    <w:rsid w:val="00E255A0"/>
    <w:rsid w:val="00E31936"/>
    <w:rsid w:val="00E345BA"/>
    <w:rsid w:val="00E346A0"/>
    <w:rsid w:val="00E3529C"/>
    <w:rsid w:val="00E35C85"/>
    <w:rsid w:val="00E35F03"/>
    <w:rsid w:val="00E4051F"/>
    <w:rsid w:val="00E4474D"/>
    <w:rsid w:val="00E44C03"/>
    <w:rsid w:val="00E46C24"/>
    <w:rsid w:val="00E503C3"/>
    <w:rsid w:val="00E51785"/>
    <w:rsid w:val="00E5189F"/>
    <w:rsid w:val="00E51C52"/>
    <w:rsid w:val="00E553C0"/>
    <w:rsid w:val="00E577B5"/>
    <w:rsid w:val="00E62354"/>
    <w:rsid w:val="00E72720"/>
    <w:rsid w:val="00E73D5F"/>
    <w:rsid w:val="00E7752A"/>
    <w:rsid w:val="00E84859"/>
    <w:rsid w:val="00E852AD"/>
    <w:rsid w:val="00E878CE"/>
    <w:rsid w:val="00E914F3"/>
    <w:rsid w:val="00E91983"/>
    <w:rsid w:val="00E9235D"/>
    <w:rsid w:val="00E95457"/>
    <w:rsid w:val="00E97B62"/>
    <w:rsid w:val="00EA1922"/>
    <w:rsid w:val="00EA4947"/>
    <w:rsid w:val="00EB0E75"/>
    <w:rsid w:val="00EB0E76"/>
    <w:rsid w:val="00EB0F63"/>
    <w:rsid w:val="00EB1362"/>
    <w:rsid w:val="00EB33F0"/>
    <w:rsid w:val="00EB360F"/>
    <w:rsid w:val="00EB376F"/>
    <w:rsid w:val="00EB6FA9"/>
    <w:rsid w:val="00EB7C4F"/>
    <w:rsid w:val="00EC4020"/>
    <w:rsid w:val="00EC4F95"/>
    <w:rsid w:val="00ED1565"/>
    <w:rsid w:val="00ED5FB2"/>
    <w:rsid w:val="00ED789B"/>
    <w:rsid w:val="00EE01A1"/>
    <w:rsid w:val="00EE2F25"/>
    <w:rsid w:val="00EE2FAA"/>
    <w:rsid w:val="00EE5A09"/>
    <w:rsid w:val="00EE634A"/>
    <w:rsid w:val="00EF1A78"/>
    <w:rsid w:val="00EF35A5"/>
    <w:rsid w:val="00EF3879"/>
    <w:rsid w:val="00F03F6B"/>
    <w:rsid w:val="00F15DB4"/>
    <w:rsid w:val="00F161ED"/>
    <w:rsid w:val="00F31920"/>
    <w:rsid w:val="00F31E61"/>
    <w:rsid w:val="00F351E8"/>
    <w:rsid w:val="00F47DEA"/>
    <w:rsid w:val="00F47F04"/>
    <w:rsid w:val="00F564B9"/>
    <w:rsid w:val="00F57B80"/>
    <w:rsid w:val="00F62370"/>
    <w:rsid w:val="00F63574"/>
    <w:rsid w:val="00F66B25"/>
    <w:rsid w:val="00F671FE"/>
    <w:rsid w:val="00F67C6B"/>
    <w:rsid w:val="00F72444"/>
    <w:rsid w:val="00F734CD"/>
    <w:rsid w:val="00F76F86"/>
    <w:rsid w:val="00F80E03"/>
    <w:rsid w:val="00F81FCA"/>
    <w:rsid w:val="00F83824"/>
    <w:rsid w:val="00F8440D"/>
    <w:rsid w:val="00F852B2"/>
    <w:rsid w:val="00F866FC"/>
    <w:rsid w:val="00F95BFF"/>
    <w:rsid w:val="00F96157"/>
    <w:rsid w:val="00F97989"/>
    <w:rsid w:val="00FA0CA0"/>
    <w:rsid w:val="00FA364E"/>
    <w:rsid w:val="00FA4003"/>
    <w:rsid w:val="00FA67B8"/>
    <w:rsid w:val="00FA76AD"/>
    <w:rsid w:val="00FB052C"/>
    <w:rsid w:val="00FB2384"/>
    <w:rsid w:val="00FB2D01"/>
    <w:rsid w:val="00FC1DF2"/>
    <w:rsid w:val="00FC2A6E"/>
    <w:rsid w:val="00FC4081"/>
    <w:rsid w:val="00FD1BB3"/>
    <w:rsid w:val="00FD58CF"/>
    <w:rsid w:val="00FD63FF"/>
    <w:rsid w:val="00FE3AD2"/>
    <w:rsid w:val="00FE493C"/>
    <w:rsid w:val="00FE5A9A"/>
    <w:rsid w:val="00FF1FE5"/>
    <w:rsid w:val="00FF3EE4"/>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45B843"/>
  <w15:docId w15:val="{E5FA0C65-51AC-4690-BED2-54933261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915"/>
    <w:pPr>
      <w:widowControl w:val="0"/>
      <w:suppressAutoHyphens/>
    </w:pPr>
    <w:rPr>
      <w:rFonts w:ascii="Times New Roman" w:eastAsia="Times New Roman" w:hAnsi="Times New Roman"/>
      <w:sz w:val="24"/>
      <w:szCs w:val="24"/>
    </w:rPr>
  </w:style>
  <w:style w:type="paragraph" w:styleId="1">
    <w:name w:val="heading 1"/>
    <w:basedOn w:val="10"/>
    <w:next w:val="a0"/>
    <w:link w:val="11"/>
    <w:qFormat/>
    <w:rsid w:val="00437915"/>
    <w:pPr>
      <w:tabs>
        <w:tab w:val="num" w:pos="720"/>
      </w:tabs>
      <w:spacing w:before="720" w:after="119"/>
      <w:ind w:left="720" w:firstLine="0"/>
      <w:outlineLvl w:val="0"/>
    </w:pPr>
    <w:rPr>
      <w:rFonts w:eastAsia="Calibri"/>
      <w:bCs w:val="0"/>
      <w:szCs w:val="20"/>
    </w:rPr>
  </w:style>
  <w:style w:type="paragraph" w:styleId="2">
    <w:name w:val="heading 2"/>
    <w:basedOn w:val="10"/>
    <w:next w:val="a0"/>
    <w:link w:val="20"/>
    <w:qFormat/>
    <w:rsid w:val="00437915"/>
    <w:pPr>
      <w:tabs>
        <w:tab w:val="num" w:pos="1440"/>
      </w:tabs>
      <w:spacing w:before="238" w:after="119"/>
      <w:ind w:left="1440" w:firstLine="0"/>
      <w:outlineLvl w:val="1"/>
    </w:pPr>
    <w:rPr>
      <w:rFonts w:eastAsia="Calibri"/>
      <w:bCs w:val="0"/>
      <w:szCs w:val="20"/>
    </w:rPr>
  </w:style>
  <w:style w:type="paragraph" w:styleId="3">
    <w:name w:val="heading 3"/>
    <w:basedOn w:val="10"/>
    <w:next w:val="a0"/>
    <w:link w:val="30"/>
    <w:qFormat/>
    <w:rsid w:val="00437915"/>
    <w:pPr>
      <w:numPr>
        <w:ilvl w:val="2"/>
        <w:numId w:val="6"/>
      </w:numPr>
      <w:spacing w:before="238" w:after="0"/>
      <w:outlineLvl w:val="2"/>
    </w:pPr>
    <w:rPr>
      <w:rFonts w:eastAsia="Calibri"/>
      <w:b w:val="0"/>
      <w:bCs w:val="0"/>
      <w:i/>
      <w:szCs w:val="20"/>
    </w:rPr>
  </w:style>
  <w:style w:type="paragraph" w:styleId="4">
    <w:name w:val="heading 4"/>
    <w:basedOn w:val="a"/>
    <w:next w:val="a"/>
    <w:link w:val="40"/>
    <w:semiHidden/>
    <w:unhideWhenUsed/>
    <w:qFormat/>
    <w:locked/>
    <w:rsid w:val="00A103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locked/>
    <w:rsid w:val="00437915"/>
    <w:rPr>
      <w:rFonts w:ascii="Times New Roman" w:hAnsi="Times New Roman"/>
      <w:b/>
      <w:sz w:val="24"/>
    </w:rPr>
  </w:style>
  <w:style w:type="character" w:customStyle="1" w:styleId="20">
    <w:name w:val="Заголовок 2 Знак"/>
    <w:link w:val="2"/>
    <w:locked/>
    <w:rsid w:val="00437915"/>
    <w:rPr>
      <w:rFonts w:ascii="Times New Roman" w:hAnsi="Times New Roman"/>
      <w:b/>
      <w:sz w:val="24"/>
    </w:rPr>
  </w:style>
  <w:style w:type="character" w:customStyle="1" w:styleId="30">
    <w:name w:val="Заголовок 3 Знак"/>
    <w:link w:val="3"/>
    <w:locked/>
    <w:rsid w:val="00437915"/>
    <w:rPr>
      <w:rFonts w:ascii="Times New Roman" w:hAnsi="Times New Roman"/>
      <w:i/>
      <w:sz w:val="24"/>
    </w:rPr>
  </w:style>
  <w:style w:type="paragraph" w:styleId="a0">
    <w:name w:val="Body Text"/>
    <w:basedOn w:val="a"/>
    <w:link w:val="a4"/>
    <w:rsid w:val="00437915"/>
    <w:pPr>
      <w:widowControl/>
      <w:ind w:firstLine="567"/>
      <w:jc w:val="both"/>
    </w:pPr>
    <w:rPr>
      <w:rFonts w:eastAsia="Calibri"/>
      <w:szCs w:val="20"/>
    </w:rPr>
  </w:style>
  <w:style w:type="character" w:customStyle="1" w:styleId="a4">
    <w:name w:val="Основной текст Знак"/>
    <w:link w:val="a0"/>
    <w:locked/>
    <w:rsid w:val="00437915"/>
    <w:rPr>
      <w:rFonts w:ascii="Times New Roman" w:hAnsi="Times New Roman"/>
      <w:sz w:val="24"/>
      <w:lang w:eastAsia="ru-RU"/>
    </w:rPr>
  </w:style>
  <w:style w:type="paragraph" w:customStyle="1" w:styleId="10">
    <w:name w:val="Заголовок1"/>
    <w:basedOn w:val="a"/>
    <w:next w:val="a0"/>
    <w:rsid w:val="00437915"/>
    <w:pPr>
      <w:keepNext/>
      <w:spacing w:before="283" w:after="113"/>
      <w:ind w:firstLine="567"/>
    </w:pPr>
    <w:rPr>
      <w:b/>
      <w:bCs/>
    </w:rPr>
  </w:style>
  <w:style w:type="paragraph" w:customStyle="1" w:styleId="12">
    <w:name w:val="Маркированный список 1"/>
    <w:basedOn w:val="a5"/>
    <w:rsid w:val="00437915"/>
    <w:pPr>
      <w:widowControl/>
      <w:tabs>
        <w:tab w:val="num" w:pos="0"/>
      </w:tabs>
      <w:ind w:left="0" w:firstLine="567"/>
      <w:jc w:val="both"/>
    </w:pPr>
    <w:rPr>
      <w:lang w:val="uk-UA"/>
    </w:rPr>
  </w:style>
  <w:style w:type="paragraph" w:customStyle="1" w:styleId="a6">
    <w:name w:val="Содержимое таблицы"/>
    <w:basedOn w:val="a"/>
    <w:rsid w:val="00437915"/>
    <w:pPr>
      <w:suppressLineNumbers/>
    </w:pPr>
    <w:rPr>
      <w:w w:val="80"/>
      <w:lang w:val="uk-UA"/>
    </w:rPr>
  </w:style>
  <w:style w:type="paragraph" w:customStyle="1" w:styleId="a7">
    <w:name w:val="Заголовок таблицы"/>
    <w:basedOn w:val="a6"/>
    <w:rsid w:val="00437915"/>
    <w:pPr>
      <w:jc w:val="center"/>
      <w:textAlignment w:val="center"/>
    </w:pPr>
    <w:rPr>
      <w:b/>
      <w:bCs/>
    </w:rPr>
  </w:style>
  <w:style w:type="paragraph" w:customStyle="1" w:styleId="a8">
    <w:name w:val="Табл."/>
    <w:basedOn w:val="a"/>
    <w:rsid w:val="00437915"/>
    <w:pPr>
      <w:keepNext/>
      <w:suppressLineNumbers/>
      <w:spacing w:before="238"/>
      <w:jc w:val="right"/>
    </w:pPr>
  </w:style>
  <w:style w:type="paragraph" w:styleId="a5">
    <w:name w:val="List"/>
    <w:basedOn w:val="a"/>
    <w:semiHidden/>
    <w:rsid w:val="00437915"/>
    <w:pPr>
      <w:ind w:left="283" w:hanging="283"/>
    </w:pPr>
  </w:style>
  <w:style w:type="table" w:styleId="a9">
    <w:name w:val="Table Grid"/>
    <w:basedOn w:val="a2"/>
    <w:locked/>
    <w:rsid w:val="00EB360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EB0E75"/>
    <w:pPr>
      <w:widowControl/>
      <w:suppressAutoHyphens w:val="0"/>
      <w:spacing w:after="200" w:line="276" w:lineRule="auto"/>
      <w:ind w:left="720"/>
    </w:pPr>
    <w:rPr>
      <w:rFonts w:ascii="Calibri" w:eastAsia="Calibri" w:hAnsi="Calibri"/>
      <w:sz w:val="22"/>
      <w:szCs w:val="22"/>
      <w:lang w:eastAsia="en-US"/>
    </w:rPr>
  </w:style>
  <w:style w:type="paragraph" w:styleId="aa">
    <w:name w:val="Balloon Text"/>
    <w:basedOn w:val="a"/>
    <w:semiHidden/>
    <w:rsid w:val="000D5FEE"/>
    <w:rPr>
      <w:rFonts w:ascii="Tahoma" w:hAnsi="Tahoma" w:cs="Tahoma"/>
      <w:sz w:val="16"/>
      <w:szCs w:val="16"/>
    </w:rPr>
  </w:style>
  <w:style w:type="paragraph" w:customStyle="1" w:styleId="ab">
    <w:name w:val="ДинТекстОбыч"/>
    <w:basedOn w:val="a"/>
    <w:rsid w:val="00B31886"/>
    <w:pPr>
      <w:suppressAutoHyphens w:val="0"/>
      <w:ind w:firstLine="567"/>
      <w:jc w:val="both"/>
    </w:pPr>
    <w:rPr>
      <w:rFonts w:eastAsia="Calibri"/>
      <w:color w:val="000000"/>
      <w:sz w:val="22"/>
      <w:szCs w:val="20"/>
      <w:lang w:val="uk-UA"/>
    </w:rPr>
  </w:style>
  <w:style w:type="paragraph" w:customStyle="1" w:styleId="ac">
    <w:name w:val="ДинРазделОбыч"/>
    <w:basedOn w:val="ab"/>
    <w:autoRedefine/>
    <w:rsid w:val="00AF519E"/>
    <w:pPr>
      <w:spacing w:before="120" w:after="120"/>
      <w:ind w:firstLine="709"/>
      <w:jc w:val="left"/>
    </w:pPr>
    <w:rPr>
      <w:b/>
      <w:sz w:val="24"/>
      <w:szCs w:val="24"/>
      <w:lang w:val="ru-RU" w:eastAsia="uk-UA"/>
    </w:rPr>
  </w:style>
  <w:style w:type="paragraph" w:styleId="ad">
    <w:name w:val="Normal (Web)"/>
    <w:basedOn w:val="a"/>
    <w:uiPriority w:val="99"/>
    <w:rsid w:val="005B5FE5"/>
    <w:pPr>
      <w:widowControl/>
      <w:suppressAutoHyphens w:val="0"/>
      <w:spacing w:before="100" w:beforeAutospacing="1" w:after="100" w:afterAutospacing="1"/>
    </w:pPr>
    <w:rPr>
      <w:rFonts w:eastAsia="Calibri"/>
    </w:rPr>
  </w:style>
  <w:style w:type="character" w:styleId="ae">
    <w:name w:val="Hyperlink"/>
    <w:rsid w:val="00FA76AD"/>
    <w:rPr>
      <w:color w:val="0000FF"/>
      <w:u w:val="single"/>
    </w:rPr>
  </w:style>
  <w:style w:type="paragraph" w:customStyle="1" w:styleId="Default">
    <w:name w:val="Default"/>
    <w:rsid w:val="00F671FE"/>
    <w:pPr>
      <w:autoSpaceDE w:val="0"/>
      <w:autoSpaceDN w:val="0"/>
      <w:adjustRightInd w:val="0"/>
    </w:pPr>
    <w:rPr>
      <w:rFonts w:ascii="Century Gothic" w:eastAsia="Times New Roman" w:hAnsi="Century Gothic" w:cs="Century Gothic"/>
      <w:color w:val="000000"/>
      <w:sz w:val="24"/>
      <w:szCs w:val="24"/>
      <w:lang w:val="uk-UA" w:eastAsia="uk-UA"/>
    </w:rPr>
  </w:style>
  <w:style w:type="paragraph" w:customStyle="1" w:styleId="14">
    <w:name w:val="Без интервала1"/>
    <w:rsid w:val="007B5FEC"/>
    <w:rPr>
      <w:rFonts w:eastAsia="Times New Roman"/>
      <w:sz w:val="22"/>
      <w:szCs w:val="22"/>
      <w:lang w:val="uk-UA" w:eastAsia="en-US"/>
    </w:rPr>
  </w:style>
  <w:style w:type="paragraph" w:styleId="af">
    <w:name w:val="footer"/>
    <w:basedOn w:val="a"/>
    <w:link w:val="af0"/>
    <w:rsid w:val="007B5FEC"/>
    <w:pPr>
      <w:widowControl/>
      <w:tabs>
        <w:tab w:val="center" w:pos="4677"/>
        <w:tab w:val="right" w:pos="9355"/>
      </w:tabs>
      <w:suppressAutoHyphens w:val="0"/>
    </w:pPr>
    <w:rPr>
      <w:rFonts w:eastAsia="Calibri"/>
    </w:rPr>
  </w:style>
  <w:style w:type="character" w:customStyle="1" w:styleId="af0">
    <w:name w:val="Нижний колонтитул Знак"/>
    <w:link w:val="af"/>
    <w:locked/>
    <w:rsid w:val="007B5FEC"/>
    <w:rPr>
      <w:rFonts w:ascii="Times New Roman" w:hAnsi="Times New Roman" w:cs="Times New Roman"/>
      <w:sz w:val="24"/>
      <w:szCs w:val="24"/>
    </w:rPr>
  </w:style>
  <w:style w:type="paragraph" w:styleId="af1">
    <w:name w:val="Title"/>
    <w:basedOn w:val="a"/>
    <w:link w:val="af2"/>
    <w:qFormat/>
    <w:locked/>
    <w:rsid w:val="00022BB1"/>
    <w:pPr>
      <w:widowControl/>
      <w:suppressAutoHyphens w:val="0"/>
      <w:jc w:val="center"/>
    </w:pPr>
    <w:rPr>
      <w:rFonts w:eastAsia="Calibri"/>
      <w:b/>
      <w:sz w:val="20"/>
      <w:szCs w:val="20"/>
    </w:rPr>
  </w:style>
  <w:style w:type="character" w:customStyle="1" w:styleId="af2">
    <w:name w:val="Заголовок Знак"/>
    <w:link w:val="af1"/>
    <w:locked/>
    <w:rsid w:val="00022BB1"/>
    <w:rPr>
      <w:rFonts w:ascii="Times New Roman" w:hAnsi="Times New Roman" w:cs="Times New Roman"/>
      <w:b/>
    </w:rPr>
  </w:style>
  <w:style w:type="paragraph" w:customStyle="1" w:styleId="rvps2">
    <w:name w:val="rvps2"/>
    <w:basedOn w:val="a"/>
    <w:rsid w:val="00516167"/>
    <w:pPr>
      <w:widowControl/>
      <w:suppressAutoHyphens w:val="0"/>
      <w:spacing w:before="100" w:beforeAutospacing="1" w:after="100" w:afterAutospacing="1"/>
    </w:pPr>
    <w:rPr>
      <w:rFonts w:eastAsia="Calibri"/>
    </w:rPr>
  </w:style>
  <w:style w:type="character" w:customStyle="1" w:styleId="rvts48">
    <w:name w:val="rvts48"/>
    <w:rsid w:val="00516167"/>
    <w:rPr>
      <w:rFonts w:cs="Times New Roman"/>
    </w:rPr>
  </w:style>
  <w:style w:type="character" w:customStyle="1" w:styleId="rvts9">
    <w:name w:val="rvts9"/>
    <w:rsid w:val="00516167"/>
    <w:rPr>
      <w:rFonts w:cs="Times New Roman"/>
    </w:rPr>
  </w:style>
  <w:style w:type="paragraph" w:customStyle="1" w:styleId="21">
    <w:name w:val="Основной текст с отступом 21"/>
    <w:basedOn w:val="a"/>
    <w:rsid w:val="00966B26"/>
    <w:pPr>
      <w:widowControl/>
      <w:suppressAutoHyphens w:val="0"/>
      <w:ind w:firstLine="720"/>
      <w:jc w:val="both"/>
    </w:pPr>
    <w:rPr>
      <w:rFonts w:ascii="Times New Roman CYR" w:eastAsia="Calibri" w:hAnsi="Times New Roman CYR"/>
      <w:b/>
      <w:szCs w:val="20"/>
      <w:lang w:val="uk-UA"/>
    </w:rPr>
  </w:style>
  <w:style w:type="character" w:customStyle="1" w:styleId="af3">
    <w:name w:val="Основной текст_"/>
    <w:link w:val="15"/>
    <w:locked/>
    <w:rsid w:val="00D67243"/>
    <w:rPr>
      <w:rFonts w:cs="Times New Roman"/>
      <w:sz w:val="22"/>
      <w:szCs w:val="22"/>
      <w:shd w:val="clear" w:color="auto" w:fill="FFFFFF"/>
    </w:rPr>
  </w:style>
  <w:style w:type="paragraph" w:customStyle="1" w:styleId="15">
    <w:name w:val="Основной текст1"/>
    <w:basedOn w:val="a"/>
    <w:link w:val="af3"/>
    <w:rsid w:val="00D67243"/>
    <w:pPr>
      <w:shd w:val="clear" w:color="auto" w:fill="FFFFFF"/>
      <w:suppressAutoHyphens w:val="0"/>
      <w:spacing w:before="540" w:after="180" w:line="278" w:lineRule="exact"/>
      <w:ind w:hanging="340"/>
    </w:pPr>
    <w:rPr>
      <w:rFonts w:ascii="Calibri" w:eastAsia="Calibri" w:hAnsi="Calibri"/>
      <w:sz w:val="22"/>
      <w:szCs w:val="22"/>
    </w:rPr>
  </w:style>
  <w:style w:type="paragraph" w:styleId="22">
    <w:name w:val="Body Text 2"/>
    <w:basedOn w:val="a"/>
    <w:link w:val="23"/>
    <w:rsid w:val="00D67243"/>
    <w:pPr>
      <w:spacing w:after="120" w:line="480" w:lineRule="auto"/>
    </w:pPr>
    <w:rPr>
      <w:rFonts w:eastAsia="Calibri"/>
    </w:rPr>
  </w:style>
  <w:style w:type="character" w:customStyle="1" w:styleId="23">
    <w:name w:val="Основной текст 2 Знак"/>
    <w:link w:val="22"/>
    <w:locked/>
    <w:rsid w:val="00D67243"/>
    <w:rPr>
      <w:rFonts w:ascii="Times New Roman" w:hAnsi="Times New Roman" w:cs="Times New Roman"/>
      <w:sz w:val="24"/>
      <w:szCs w:val="24"/>
    </w:rPr>
  </w:style>
  <w:style w:type="paragraph" w:styleId="af4">
    <w:name w:val="header"/>
    <w:basedOn w:val="a"/>
    <w:link w:val="af5"/>
    <w:rsid w:val="001F4738"/>
    <w:pPr>
      <w:tabs>
        <w:tab w:val="center" w:pos="4677"/>
        <w:tab w:val="right" w:pos="9355"/>
      </w:tabs>
    </w:pPr>
    <w:rPr>
      <w:rFonts w:eastAsia="Calibri"/>
    </w:rPr>
  </w:style>
  <w:style w:type="character" w:customStyle="1" w:styleId="af5">
    <w:name w:val="Верхний колонтитул Знак"/>
    <w:link w:val="af4"/>
    <w:locked/>
    <w:rsid w:val="001F4738"/>
    <w:rPr>
      <w:rFonts w:ascii="Times New Roman" w:hAnsi="Times New Roman" w:cs="Times New Roman"/>
      <w:sz w:val="24"/>
      <w:szCs w:val="24"/>
    </w:rPr>
  </w:style>
  <w:style w:type="paragraph" w:styleId="31">
    <w:name w:val="Body Text 3"/>
    <w:basedOn w:val="a"/>
    <w:link w:val="32"/>
    <w:rsid w:val="0041579B"/>
    <w:pPr>
      <w:spacing w:after="120"/>
    </w:pPr>
    <w:rPr>
      <w:rFonts w:eastAsia="Calibri"/>
      <w:sz w:val="16"/>
      <w:szCs w:val="16"/>
    </w:rPr>
  </w:style>
  <w:style w:type="character" w:customStyle="1" w:styleId="32">
    <w:name w:val="Основной текст 3 Знак"/>
    <w:link w:val="31"/>
    <w:locked/>
    <w:rsid w:val="0041579B"/>
    <w:rPr>
      <w:rFonts w:ascii="Times New Roman" w:hAnsi="Times New Roman" w:cs="Times New Roman"/>
      <w:sz w:val="16"/>
      <w:szCs w:val="16"/>
    </w:rPr>
  </w:style>
  <w:style w:type="character" w:customStyle="1" w:styleId="apple-converted-space">
    <w:name w:val="apple-converted-space"/>
    <w:rsid w:val="001C1933"/>
  </w:style>
  <w:style w:type="paragraph" w:styleId="af6">
    <w:name w:val="Body Text Indent"/>
    <w:basedOn w:val="a"/>
    <w:link w:val="af7"/>
    <w:rsid w:val="007C1740"/>
    <w:pPr>
      <w:spacing w:after="120"/>
      <w:ind w:left="283"/>
    </w:pPr>
  </w:style>
  <w:style w:type="character" w:customStyle="1" w:styleId="af7">
    <w:name w:val="Основной текст с отступом Знак"/>
    <w:link w:val="af6"/>
    <w:rsid w:val="007C1740"/>
    <w:rPr>
      <w:rFonts w:ascii="Times New Roman" w:eastAsia="Times New Roman" w:hAnsi="Times New Roman"/>
      <w:sz w:val="24"/>
      <w:szCs w:val="24"/>
    </w:rPr>
  </w:style>
  <w:style w:type="paragraph" w:styleId="24">
    <w:name w:val="Body Text Indent 2"/>
    <w:basedOn w:val="a"/>
    <w:link w:val="25"/>
    <w:rsid w:val="007C1740"/>
    <w:pPr>
      <w:spacing w:after="120" w:line="480" w:lineRule="auto"/>
      <w:ind w:left="283"/>
    </w:pPr>
  </w:style>
  <w:style w:type="character" w:customStyle="1" w:styleId="25">
    <w:name w:val="Основной текст с отступом 2 Знак"/>
    <w:link w:val="24"/>
    <w:rsid w:val="007C1740"/>
    <w:rPr>
      <w:rFonts w:ascii="Times New Roman" w:eastAsia="Times New Roman" w:hAnsi="Times New Roman"/>
      <w:sz w:val="24"/>
      <w:szCs w:val="24"/>
    </w:rPr>
  </w:style>
  <w:style w:type="paragraph" w:styleId="af8">
    <w:name w:val="List Paragraph"/>
    <w:basedOn w:val="a"/>
    <w:uiPriority w:val="1"/>
    <w:qFormat/>
    <w:rsid w:val="00A77736"/>
    <w:pPr>
      <w:widowControl/>
      <w:suppressAutoHyphens w:val="0"/>
      <w:spacing w:after="160" w:line="259" w:lineRule="auto"/>
      <w:ind w:left="720"/>
      <w:contextualSpacing/>
    </w:pPr>
    <w:rPr>
      <w:rFonts w:ascii="Calibri" w:eastAsia="Calibri" w:hAnsi="Calibri"/>
      <w:sz w:val="22"/>
      <w:szCs w:val="22"/>
      <w:lang w:val="uk-UA" w:eastAsia="en-US"/>
    </w:rPr>
  </w:style>
  <w:style w:type="character" w:styleId="af9">
    <w:name w:val="Strong"/>
    <w:qFormat/>
    <w:locked/>
    <w:rsid w:val="00A820B0"/>
    <w:rPr>
      <w:b/>
      <w:bCs/>
    </w:rPr>
  </w:style>
  <w:style w:type="character" w:customStyle="1" w:styleId="40">
    <w:name w:val="Заголовок 4 Знак"/>
    <w:basedOn w:val="a1"/>
    <w:link w:val="4"/>
    <w:semiHidden/>
    <w:rsid w:val="00A1036C"/>
    <w:rPr>
      <w:rFonts w:asciiTheme="majorHAnsi" w:eastAsiaTheme="majorEastAsia" w:hAnsiTheme="majorHAnsi" w:cstheme="majorBidi"/>
      <w:i/>
      <w:iCs/>
      <w:color w:val="365F91" w:themeColor="accent1" w:themeShade="BF"/>
      <w:sz w:val="24"/>
      <w:szCs w:val="24"/>
    </w:rPr>
  </w:style>
  <w:style w:type="character" w:customStyle="1" w:styleId="hps">
    <w:name w:val="hps"/>
    <w:uiPriority w:val="99"/>
    <w:rsid w:val="00A1036C"/>
  </w:style>
  <w:style w:type="character" w:customStyle="1" w:styleId="11pt">
    <w:name w:val="Колонтитул + 11 pt"/>
    <w:aliases w:val="Не полужирный3"/>
    <w:rsid w:val="001B2214"/>
    <w:rPr>
      <w:rFonts w:ascii="Times New Roman" w:hAnsi="Times New Roman" w:cs="Times New Roman"/>
      <w:b/>
      <w:bCs/>
      <w:color w:val="000000"/>
      <w:spacing w:val="0"/>
      <w:w w:val="100"/>
      <w:position w:val="0"/>
      <w:sz w:val="22"/>
      <w:szCs w:val="22"/>
      <w:u w:val="none"/>
      <w:lang w:val="uk-UA" w:eastAsia="uk-UA"/>
    </w:rPr>
  </w:style>
  <w:style w:type="paragraph" w:customStyle="1" w:styleId="ABC-paragrahinNotes">
    <w:name w:val="ABC - paragrah in Notes"/>
    <w:rsid w:val="00446E71"/>
    <w:pPr>
      <w:spacing w:after="240"/>
      <w:jc w:val="both"/>
    </w:pPr>
    <w:rPr>
      <w:rFonts w:ascii="Arial" w:eastAsia="Times New Roman" w:hAnsi="Arial"/>
      <w:lang w:val="en-GB" w:eastAsia="uk-UA"/>
    </w:rPr>
  </w:style>
  <w:style w:type="paragraph" w:customStyle="1" w:styleId="m-6369613617634704952msonospacing">
    <w:name w:val="m_-6369613617634704952msonospacing"/>
    <w:basedOn w:val="a"/>
    <w:rsid w:val="002D1B46"/>
    <w:pPr>
      <w:widowControl/>
      <w:suppressAutoHyphens w:val="0"/>
      <w:spacing w:before="100" w:beforeAutospacing="1" w:after="100" w:afterAutospacing="1"/>
    </w:pPr>
  </w:style>
  <w:style w:type="paragraph" w:customStyle="1" w:styleId="m-8968289930247804882msonospacing">
    <w:name w:val="m_-8968289930247804882msonospacing"/>
    <w:basedOn w:val="a"/>
    <w:rsid w:val="002F7799"/>
    <w:pPr>
      <w:widowControl/>
      <w:suppressAutoHyphens w:val="0"/>
      <w:spacing w:before="100" w:beforeAutospacing="1" w:after="100" w:afterAutospacing="1"/>
    </w:pPr>
  </w:style>
  <w:style w:type="character" w:customStyle="1" w:styleId="rvts44">
    <w:name w:val="rvts44"/>
    <w:basedOn w:val="a1"/>
    <w:rsid w:val="00C6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755573">
      <w:bodyDiv w:val="1"/>
      <w:marLeft w:val="0"/>
      <w:marRight w:val="0"/>
      <w:marTop w:val="0"/>
      <w:marBottom w:val="0"/>
      <w:divBdr>
        <w:top w:val="none" w:sz="0" w:space="0" w:color="auto"/>
        <w:left w:val="none" w:sz="0" w:space="0" w:color="auto"/>
        <w:bottom w:val="none" w:sz="0" w:space="0" w:color="auto"/>
        <w:right w:val="none" w:sz="0" w:space="0" w:color="auto"/>
      </w:divBdr>
    </w:div>
    <w:div w:id="91704520">
      <w:bodyDiv w:val="1"/>
      <w:marLeft w:val="0"/>
      <w:marRight w:val="0"/>
      <w:marTop w:val="0"/>
      <w:marBottom w:val="0"/>
      <w:divBdr>
        <w:top w:val="none" w:sz="0" w:space="0" w:color="auto"/>
        <w:left w:val="none" w:sz="0" w:space="0" w:color="auto"/>
        <w:bottom w:val="none" w:sz="0" w:space="0" w:color="auto"/>
        <w:right w:val="none" w:sz="0" w:space="0" w:color="auto"/>
      </w:divBdr>
    </w:div>
    <w:div w:id="243027611">
      <w:bodyDiv w:val="1"/>
      <w:marLeft w:val="0"/>
      <w:marRight w:val="0"/>
      <w:marTop w:val="0"/>
      <w:marBottom w:val="0"/>
      <w:divBdr>
        <w:top w:val="none" w:sz="0" w:space="0" w:color="auto"/>
        <w:left w:val="none" w:sz="0" w:space="0" w:color="auto"/>
        <w:bottom w:val="none" w:sz="0" w:space="0" w:color="auto"/>
        <w:right w:val="none" w:sz="0" w:space="0" w:color="auto"/>
      </w:divBdr>
    </w:div>
    <w:div w:id="348874804">
      <w:bodyDiv w:val="1"/>
      <w:marLeft w:val="0"/>
      <w:marRight w:val="0"/>
      <w:marTop w:val="0"/>
      <w:marBottom w:val="0"/>
      <w:divBdr>
        <w:top w:val="none" w:sz="0" w:space="0" w:color="auto"/>
        <w:left w:val="none" w:sz="0" w:space="0" w:color="auto"/>
        <w:bottom w:val="none" w:sz="0" w:space="0" w:color="auto"/>
        <w:right w:val="none" w:sz="0" w:space="0" w:color="auto"/>
      </w:divBdr>
    </w:div>
    <w:div w:id="362636176">
      <w:bodyDiv w:val="1"/>
      <w:marLeft w:val="0"/>
      <w:marRight w:val="0"/>
      <w:marTop w:val="0"/>
      <w:marBottom w:val="0"/>
      <w:divBdr>
        <w:top w:val="none" w:sz="0" w:space="0" w:color="auto"/>
        <w:left w:val="none" w:sz="0" w:space="0" w:color="auto"/>
        <w:bottom w:val="none" w:sz="0" w:space="0" w:color="auto"/>
        <w:right w:val="none" w:sz="0" w:space="0" w:color="auto"/>
      </w:divBdr>
    </w:div>
    <w:div w:id="398023665">
      <w:bodyDiv w:val="1"/>
      <w:marLeft w:val="0"/>
      <w:marRight w:val="0"/>
      <w:marTop w:val="0"/>
      <w:marBottom w:val="0"/>
      <w:divBdr>
        <w:top w:val="none" w:sz="0" w:space="0" w:color="auto"/>
        <w:left w:val="none" w:sz="0" w:space="0" w:color="auto"/>
        <w:bottom w:val="none" w:sz="0" w:space="0" w:color="auto"/>
        <w:right w:val="none" w:sz="0" w:space="0" w:color="auto"/>
      </w:divBdr>
    </w:div>
    <w:div w:id="732121130">
      <w:bodyDiv w:val="1"/>
      <w:marLeft w:val="0"/>
      <w:marRight w:val="0"/>
      <w:marTop w:val="0"/>
      <w:marBottom w:val="0"/>
      <w:divBdr>
        <w:top w:val="none" w:sz="0" w:space="0" w:color="auto"/>
        <w:left w:val="none" w:sz="0" w:space="0" w:color="auto"/>
        <w:bottom w:val="none" w:sz="0" w:space="0" w:color="auto"/>
        <w:right w:val="none" w:sz="0" w:space="0" w:color="auto"/>
      </w:divBdr>
    </w:div>
    <w:div w:id="1002003661">
      <w:bodyDiv w:val="1"/>
      <w:marLeft w:val="0"/>
      <w:marRight w:val="0"/>
      <w:marTop w:val="0"/>
      <w:marBottom w:val="0"/>
      <w:divBdr>
        <w:top w:val="none" w:sz="0" w:space="0" w:color="auto"/>
        <w:left w:val="none" w:sz="0" w:space="0" w:color="auto"/>
        <w:bottom w:val="none" w:sz="0" w:space="0" w:color="auto"/>
        <w:right w:val="none" w:sz="0" w:space="0" w:color="auto"/>
      </w:divBdr>
    </w:div>
    <w:div w:id="1068188125">
      <w:bodyDiv w:val="1"/>
      <w:marLeft w:val="0"/>
      <w:marRight w:val="0"/>
      <w:marTop w:val="0"/>
      <w:marBottom w:val="0"/>
      <w:divBdr>
        <w:top w:val="none" w:sz="0" w:space="0" w:color="auto"/>
        <w:left w:val="none" w:sz="0" w:space="0" w:color="auto"/>
        <w:bottom w:val="none" w:sz="0" w:space="0" w:color="auto"/>
        <w:right w:val="none" w:sz="0" w:space="0" w:color="auto"/>
      </w:divBdr>
    </w:div>
    <w:div w:id="1148398616">
      <w:bodyDiv w:val="1"/>
      <w:marLeft w:val="0"/>
      <w:marRight w:val="0"/>
      <w:marTop w:val="0"/>
      <w:marBottom w:val="0"/>
      <w:divBdr>
        <w:top w:val="none" w:sz="0" w:space="0" w:color="auto"/>
        <w:left w:val="none" w:sz="0" w:space="0" w:color="auto"/>
        <w:bottom w:val="none" w:sz="0" w:space="0" w:color="auto"/>
        <w:right w:val="none" w:sz="0" w:space="0" w:color="auto"/>
      </w:divBdr>
    </w:div>
    <w:div w:id="1509102153">
      <w:bodyDiv w:val="1"/>
      <w:marLeft w:val="0"/>
      <w:marRight w:val="0"/>
      <w:marTop w:val="0"/>
      <w:marBottom w:val="0"/>
      <w:divBdr>
        <w:top w:val="none" w:sz="0" w:space="0" w:color="auto"/>
        <w:left w:val="none" w:sz="0" w:space="0" w:color="auto"/>
        <w:bottom w:val="none" w:sz="0" w:space="0" w:color="auto"/>
        <w:right w:val="none" w:sz="0" w:space="0" w:color="auto"/>
      </w:divBdr>
    </w:div>
    <w:div w:id="1607807489">
      <w:bodyDiv w:val="1"/>
      <w:marLeft w:val="0"/>
      <w:marRight w:val="0"/>
      <w:marTop w:val="0"/>
      <w:marBottom w:val="0"/>
      <w:divBdr>
        <w:top w:val="none" w:sz="0" w:space="0" w:color="auto"/>
        <w:left w:val="none" w:sz="0" w:space="0" w:color="auto"/>
        <w:bottom w:val="none" w:sz="0" w:space="0" w:color="auto"/>
        <w:right w:val="none" w:sz="0" w:space="0" w:color="auto"/>
      </w:divBdr>
    </w:div>
    <w:div w:id="1687713542">
      <w:bodyDiv w:val="1"/>
      <w:marLeft w:val="0"/>
      <w:marRight w:val="0"/>
      <w:marTop w:val="0"/>
      <w:marBottom w:val="0"/>
      <w:divBdr>
        <w:top w:val="none" w:sz="0" w:space="0" w:color="auto"/>
        <w:left w:val="none" w:sz="0" w:space="0" w:color="auto"/>
        <w:bottom w:val="none" w:sz="0" w:space="0" w:color="auto"/>
        <w:right w:val="none" w:sz="0" w:space="0" w:color="auto"/>
      </w:divBdr>
    </w:div>
    <w:div w:id="1809467479">
      <w:bodyDiv w:val="1"/>
      <w:marLeft w:val="0"/>
      <w:marRight w:val="0"/>
      <w:marTop w:val="0"/>
      <w:marBottom w:val="0"/>
      <w:divBdr>
        <w:top w:val="none" w:sz="0" w:space="0" w:color="auto"/>
        <w:left w:val="none" w:sz="0" w:space="0" w:color="auto"/>
        <w:bottom w:val="none" w:sz="0" w:space="0" w:color="auto"/>
        <w:right w:val="none" w:sz="0" w:space="0" w:color="auto"/>
      </w:divBdr>
    </w:div>
    <w:div w:id="1861581784">
      <w:bodyDiv w:val="1"/>
      <w:marLeft w:val="0"/>
      <w:marRight w:val="0"/>
      <w:marTop w:val="0"/>
      <w:marBottom w:val="0"/>
      <w:divBdr>
        <w:top w:val="none" w:sz="0" w:space="0" w:color="auto"/>
        <w:left w:val="none" w:sz="0" w:space="0" w:color="auto"/>
        <w:bottom w:val="none" w:sz="0" w:space="0" w:color="auto"/>
        <w:right w:val="none" w:sz="0" w:space="0" w:color="auto"/>
      </w:divBdr>
      <w:divsChild>
        <w:div w:id="516163172">
          <w:marLeft w:val="0"/>
          <w:marRight w:val="0"/>
          <w:marTop w:val="0"/>
          <w:marBottom w:val="0"/>
          <w:divBdr>
            <w:top w:val="none" w:sz="0" w:space="0" w:color="auto"/>
            <w:left w:val="none" w:sz="0" w:space="0" w:color="auto"/>
            <w:bottom w:val="none" w:sz="0" w:space="0" w:color="auto"/>
            <w:right w:val="none" w:sz="0" w:space="0" w:color="auto"/>
          </w:divBdr>
        </w:div>
        <w:div w:id="972828601">
          <w:marLeft w:val="0"/>
          <w:marRight w:val="0"/>
          <w:marTop w:val="0"/>
          <w:marBottom w:val="0"/>
          <w:divBdr>
            <w:top w:val="none" w:sz="0" w:space="0" w:color="auto"/>
            <w:left w:val="none" w:sz="0" w:space="0" w:color="auto"/>
            <w:bottom w:val="none" w:sz="0" w:space="0" w:color="auto"/>
            <w:right w:val="none" w:sz="0" w:space="0" w:color="auto"/>
          </w:divBdr>
        </w:div>
      </w:divsChild>
    </w:div>
    <w:div w:id="20190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3D75-6EF2-4270-8FC4-C181BB84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РОЗКРИТТЯ ІНФОРМАЦІЇ</vt:lpstr>
    </vt:vector>
  </TitlesOfParts>
  <Company>Microsoft</Company>
  <LinksUpToDate>false</LinksUpToDate>
  <CharactersWithSpaces>56385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РОЗКРИТТЯ ІНФОРМАЦІЇ</dc:title>
  <dc:creator>Admin</dc:creator>
  <cp:lastModifiedBy>Samsung</cp:lastModifiedBy>
  <cp:revision>115</cp:revision>
  <cp:lastPrinted>2022-11-16T15:11:00Z</cp:lastPrinted>
  <dcterms:created xsi:type="dcterms:W3CDTF">2020-04-17T12:14:00Z</dcterms:created>
  <dcterms:modified xsi:type="dcterms:W3CDTF">2023-01-05T14:08:00Z</dcterms:modified>
</cp:coreProperties>
</file>