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9E" w:rsidRPr="00AF519E" w:rsidRDefault="00AF519E" w:rsidP="00AF519E">
      <w:pPr>
        <w:jc w:val="center"/>
        <w:rPr>
          <w:b/>
          <w:lang w:eastAsia="ar-SA"/>
        </w:rPr>
      </w:pPr>
      <w:r w:rsidRPr="00AF519E">
        <w:rPr>
          <w:b/>
          <w:lang w:eastAsia="ar-SA"/>
        </w:rPr>
        <w:t xml:space="preserve">ПРИМІТКИ ДО РІЧНОЇ ФІНАНСОВОЇ ЗВІТНОСТІ ПОВНОГО ТОВАРИСТВА </w:t>
      </w:r>
      <w:r w:rsidRPr="00AF519E">
        <w:rPr>
          <w:b/>
          <w:lang w:val="uk-UA"/>
        </w:rPr>
        <w:t>«ЕКОНОМ ЛОМБАРД»  ДОБРОДЬКІН О.М. і КОМПАНІЯ»</w:t>
      </w:r>
      <w:r w:rsidRPr="00AF519E">
        <w:rPr>
          <w:b/>
          <w:lang w:eastAsia="ar-SA"/>
        </w:rPr>
        <w:t>за рік, що закінчився</w:t>
      </w:r>
    </w:p>
    <w:p w:rsidR="00AF519E" w:rsidRPr="00AF519E" w:rsidRDefault="000E1A0C" w:rsidP="00AF519E">
      <w:pPr>
        <w:jc w:val="center"/>
        <w:rPr>
          <w:b/>
          <w:lang w:eastAsia="ar-SA"/>
        </w:rPr>
      </w:pPr>
      <w:r>
        <w:rPr>
          <w:b/>
          <w:lang w:eastAsia="ar-SA"/>
        </w:rPr>
        <w:t>31 грудня 2020</w:t>
      </w:r>
      <w:r w:rsidR="00AF519E" w:rsidRPr="00AF519E">
        <w:rPr>
          <w:b/>
          <w:lang w:eastAsia="ar-SA"/>
        </w:rPr>
        <w:t xml:space="preserve"> року.</w:t>
      </w:r>
    </w:p>
    <w:p w:rsidR="00420155" w:rsidRPr="00206A8B" w:rsidRDefault="00420155" w:rsidP="00A77736">
      <w:pPr>
        <w:pStyle w:val="ac"/>
        <w:ind w:firstLine="0"/>
      </w:pPr>
      <w:r w:rsidRPr="00206A8B">
        <w:t xml:space="preserve">1. Інформація про </w:t>
      </w:r>
      <w:r w:rsidR="00A77736" w:rsidRPr="00206A8B">
        <w:rPr>
          <w:lang w:val="uk-UA"/>
        </w:rPr>
        <w:t xml:space="preserve">Товариство </w:t>
      </w:r>
      <w:r w:rsidRPr="00206A8B">
        <w:t>та основа підгот</w:t>
      </w:r>
      <w:r w:rsidR="007439D4">
        <w:t>овки фінансової звітності за 2020</w:t>
      </w:r>
      <w:r w:rsidRPr="00206A8B">
        <w:t xml:space="preserve"> рік</w:t>
      </w:r>
    </w:p>
    <w:p w:rsidR="00206A8B" w:rsidRDefault="00420155" w:rsidP="00AF519E">
      <w:pPr>
        <w:pStyle w:val="af1"/>
        <w:widowControl w:val="0"/>
        <w:spacing w:before="120" w:after="120"/>
        <w:ind w:firstLine="709"/>
        <w:jc w:val="both"/>
        <w:rPr>
          <w:b w:val="0"/>
          <w:sz w:val="24"/>
          <w:szCs w:val="24"/>
          <w:lang w:val="uk-UA" w:eastAsia="uk-UA"/>
        </w:rPr>
      </w:pPr>
      <w:r w:rsidRPr="00206A8B">
        <w:rPr>
          <w:b w:val="0"/>
          <w:sz w:val="24"/>
          <w:szCs w:val="24"/>
        </w:rPr>
        <w:t xml:space="preserve">ПОВНЕ ТОВАРИСТВО </w:t>
      </w:r>
      <w:r w:rsidRPr="00206A8B">
        <w:rPr>
          <w:b w:val="0"/>
          <w:sz w:val="24"/>
          <w:szCs w:val="24"/>
          <w:lang w:val="uk-UA"/>
        </w:rPr>
        <w:t>«</w:t>
      </w:r>
      <w:r w:rsidR="00ED5FB2" w:rsidRPr="00206A8B">
        <w:rPr>
          <w:b w:val="0"/>
          <w:sz w:val="24"/>
          <w:szCs w:val="24"/>
          <w:lang w:val="uk-UA"/>
        </w:rPr>
        <w:t xml:space="preserve">ЕКОНОМ </w:t>
      </w:r>
      <w:r w:rsidRPr="00206A8B">
        <w:rPr>
          <w:b w:val="0"/>
          <w:sz w:val="24"/>
          <w:szCs w:val="24"/>
        </w:rPr>
        <w:t>ЛОМБАРД</w:t>
      </w:r>
      <w:r w:rsidR="00ED5FB2" w:rsidRPr="00206A8B">
        <w:rPr>
          <w:b w:val="0"/>
          <w:sz w:val="24"/>
          <w:szCs w:val="24"/>
          <w:lang w:val="uk-UA"/>
        </w:rPr>
        <w:t>» ДОБРОДЬКІН О.М. І КОМПАНІЯ»</w:t>
      </w:r>
      <w:r w:rsidR="002845B8" w:rsidRPr="00206A8B">
        <w:rPr>
          <w:b w:val="0"/>
          <w:sz w:val="24"/>
          <w:szCs w:val="24"/>
        </w:rPr>
        <w:t xml:space="preserve"> </w:t>
      </w:r>
      <w:r w:rsidRPr="00206A8B">
        <w:rPr>
          <w:b w:val="0"/>
          <w:sz w:val="24"/>
          <w:szCs w:val="24"/>
          <w:lang w:val="uk-UA" w:eastAsia="uk-UA"/>
        </w:rPr>
        <w:t xml:space="preserve">(надалі – «Товариство») зареєстровано </w:t>
      </w:r>
      <w:r w:rsidR="00ED5FB2" w:rsidRPr="00206A8B">
        <w:rPr>
          <w:b w:val="0"/>
          <w:sz w:val="24"/>
          <w:szCs w:val="24"/>
          <w:lang w:val="uk-UA" w:eastAsia="uk-UA"/>
        </w:rPr>
        <w:t>27.04.2016 року</w:t>
      </w:r>
      <w:r w:rsidRPr="00206A8B">
        <w:rPr>
          <w:b w:val="0"/>
          <w:sz w:val="24"/>
          <w:szCs w:val="24"/>
          <w:lang w:val="uk-UA" w:eastAsia="uk-UA"/>
        </w:rPr>
        <w:t xml:space="preserve">, номер запису в Єдиному державному реєстрі юридичних та фізичних осіб-підприємців – </w:t>
      </w:r>
      <w:r w:rsidR="00ED5FB2" w:rsidRPr="00206A8B">
        <w:rPr>
          <w:b w:val="0"/>
          <w:sz w:val="24"/>
          <w:szCs w:val="24"/>
          <w:lang w:val="uk-UA"/>
        </w:rPr>
        <w:t>12351020000000327</w:t>
      </w:r>
      <w:r w:rsidRPr="00206A8B">
        <w:rPr>
          <w:b w:val="0"/>
          <w:sz w:val="24"/>
          <w:szCs w:val="24"/>
          <w:lang w:val="uk-UA" w:eastAsia="uk-UA"/>
        </w:rPr>
        <w:t>, відповідно до чинного законодавства України.</w:t>
      </w:r>
    </w:p>
    <w:p w:rsidR="00420155" w:rsidRDefault="00420155" w:rsidP="00AF519E">
      <w:pPr>
        <w:pStyle w:val="af1"/>
        <w:widowControl w:val="0"/>
        <w:spacing w:before="120" w:after="120"/>
        <w:ind w:firstLine="709"/>
        <w:jc w:val="both"/>
        <w:rPr>
          <w:b w:val="0"/>
          <w:sz w:val="24"/>
          <w:szCs w:val="24"/>
          <w:lang w:val="uk-UA"/>
        </w:rPr>
      </w:pPr>
      <w:r w:rsidRPr="00206A8B">
        <w:rPr>
          <w:b w:val="0"/>
          <w:sz w:val="24"/>
          <w:szCs w:val="24"/>
          <w:lang w:val="uk-UA" w:eastAsia="uk-UA"/>
        </w:rPr>
        <w:t>Юридична адреса Товариства:</w:t>
      </w:r>
      <w:r w:rsidR="00A92C2E" w:rsidRPr="00206A8B">
        <w:rPr>
          <w:b w:val="0"/>
          <w:sz w:val="24"/>
          <w:szCs w:val="24"/>
          <w:lang w:val="uk-UA" w:eastAsia="uk-UA"/>
        </w:rPr>
        <w:t xml:space="preserve"> </w:t>
      </w:r>
      <w:r w:rsidR="00ED5FB2" w:rsidRPr="00206A8B">
        <w:rPr>
          <w:b w:val="0"/>
          <w:sz w:val="24"/>
          <w:szCs w:val="24"/>
          <w:lang w:val="uk-UA"/>
        </w:rPr>
        <w:t>51500, Дніпропетровська обл., м.</w:t>
      </w:r>
      <w:r w:rsidR="007D04AA">
        <w:rPr>
          <w:b w:val="0"/>
          <w:sz w:val="24"/>
          <w:szCs w:val="24"/>
          <w:lang w:val="uk-UA"/>
        </w:rPr>
        <w:t xml:space="preserve"> </w:t>
      </w:r>
      <w:r w:rsidR="00ED5FB2" w:rsidRPr="00206A8B">
        <w:rPr>
          <w:b w:val="0"/>
          <w:sz w:val="24"/>
          <w:szCs w:val="24"/>
          <w:lang w:val="uk-UA"/>
        </w:rPr>
        <w:t>Тернівка, вулиця Курська, будинок 18/10</w:t>
      </w:r>
      <w:r w:rsidRPr="00206A8B">
        <w:rPr>
          <w:b w:val="0"/>
          <w:sz w:val="24"/>
          <w:szCs w:val="24"/>
          <w:lang w:val="uk-UA"/>
        </w:rPr>
        <w:t>.</w:t>
      </w:r>
    </w:p>
    <w:p w:rsidR="00206A8B" w:rsidRPr="001860CC" w:rsidRDefault="00206A8B" w:rsidP="00206A8B">
      <w:pPr>
        <w:shd w:val="clear" w:color="auto" w:fill="FFFFFF"/>
        <w:autoSpaceDE w:val="0"/>
        <w:autoSpaceDN w:val="0"/>
        <w:adjustRightInd w:val="0"/>
        <w:spacing w:before="120" w:after="120"/>
        <w:ind w:firstLine="708"/>
        <w:jc w:val="both"/>
        <w:rPr>
          <w:b/>
          <w:lang w:val="uk-UA"/>
        </w:rPr>
      </w:pPr>
      <w:r w:rsidRPr="001860CC">
        <w:rPr>
          <w:lang w:val="uk-UA"/>
        </w:rPr>
        <w:t>Сайт</w:t>
      </w:r>
      <w:r>
        <w:rPr>
          <w:lang w:val="uk-UA"/>
        </w:rPr>
        <w:t>:</w:t>
      </w:r>
      <w:r w:rsidRPr="001860CC">
        <w:rPr>
          <w:lang w:val="uk-UA"/>
        </w:rPr>
        <w:t xml:space="preserve">   </w:t>
      </w:r>
      <w:r w:rsidRPr="00206A8B">
        <w:rPr>
          <w:lang w:val="uk-UA"/>
        </w:rPr>
        <w:t>econom-ua.lombards.biz</w:t>
      </w:r>
      <w:r w:rsidR="007D04AA">
        <w:rPr>
          <w:lang w:val="uk-UA"/>
        </w:rPr>
        <w:t>.</w:t>
      </w:r>
    </w:p>
    <w:p w:rsidR="00420155" w:rsidRDefault="00420155" w:rsidP="00AF519E">
      <w:pPr>
        <w:suppressAutoHyphens w:val="0"/>
        <w:spacing w:before="120" w:after="120"/>
        <w:ind w:firstLine="709"/>
        <w:jc w:val="both"/>
        <w:rPr>
          <w:lang w:val="uk-UA"/>
        </w:rPr>
      </w:pPr>
      <w:r w:rsidRPr="00206A8B">
        <w:rPr>
          <w:lang w:val="uk-UA"/>
        </w:rPr>
        <w:t xml:space="preserve">Організаційно-правова форма за класифікацією організаційно-правових форм господарювання – </w:t>
      </w:r>
      <w:r w:rsidR="003F7FF7" w:rsidRPr="00206A8B">
        <w:rPr>
          <w:lang w:val="uk-UA"/>
        </w:rPr>
        <w:t>П</w:t>
      </w:r>
      <w:r w:rsidRPr="00206A8B">
        <w:rPr>
          <w:lang w:val="uk-UA"/>
        </w:rPr>
        <w:t xml:space="preserve">овне </w:t>
      </w:r>
      <w:r w:rsidR="003F7FF7" w:rsidRPr="00206A8B">
        <w:rPr>
          <w:lang w:val="uk-UA"/>
        </w:rPr>
        <w:t>Т</w:t>
      </w:r>
      <w:r w:rsidRPr="00206A8B">
        <w:rPr>
          <w:lang w:val="uk-UA"/>
        </w:rPr>
        <w:t xml:space="preserve">овариство. </w:t>
      </w:r>
    </w:p>
    <w:p w:rsidR="00206A8B" w:rsidRPr="002E7B8D" w:rsidRDefault="002E7B8D" w:rsidP="002E7B8D">
      <w:pPr>
        <w:shd w:val="clear" w:color="auto" w:fill="FFFFFF"/>
        <w:autoSpaceDE w:val="0"/>
        <w:autoSpaceDN w:val="0"/>
        <w:adjustRightInd w:val="0"/>
        <w:spacing w:before="120" w:after="120" w:line="264" w:lineRule="auto"/>
        <w:ind w:firstLine="624"/>
        <w:jc w:val="both"/>
        <w:rPr>
          <w:lang w:val="uk-UA"/>
        </w:rPr>
      </w:pPr>
      <w:r>
        <w:rPr>
          <w:lang w:val="uk-UA"/>
        </w:rPr>
        <w:t>Відповідно до Засновницького договору, ч</w:t>
      </w:r>
      <w:r w:rsidR="00206A8B" w:rsidRPr="002E7B8D">
        <w:rPr>
          <w:lang w:val="uk-UA"/>
        </w:rPr>
        <w:t xml:space="preserve">астки складеного капіталу Товариства розподіляються між учасниками наступним чином: </w:t>
      </w:r>
    </w:p>
    <w:p w:rsidR="00206A8B" w:rsidRPr="002E7B8D" w:rsidRDefault="00206A8B" w:rsidP="00206A8B">
      <w:pPr>
        <w:pStyle w:val="af8"/>
        <w:tabs>
          <w:tab w:val="left" w:pos="142"/>
        </w:tabs>
        <w:spacing w:before="120" w:after="120"/>
        <w:ind w:left="567"/>
        <w:jc w:val="both"/>
        <w:rPr>
          <w:rFonts w:ascii="Times New Roman" w:hAnsi="Times New Roman"/>
          <w:sz w:val="24"/>
          <w:szCs w:val="24"/>
        </w:rPr>
      </w:pPr>
      <w:r w:rsidRPr="002E7B8D">
        <w:rPr>
          <w:rFonts w:ascii="Times New Roman" w:hAnsi="Times New Roman"/>
          <w:sz w:val="24"/>
          <w:szCs w:val="24"/>
        </w:rPr>
        <w:t>- Фізична особа – підприємець Добродькін Олексій Михайлович – 900 000 грн., що становить 60 % складеного капіталу;</w:t>
      </w:r>
    </w:p>
    <w:p w:rsidR="00206A8B" w:rsidRPr="002E7B8D" w:rsidRDefault="00206A8B" w:rsidP="00206A8B">
      <w:pPr>
        <w:pStyle w:val="af8"/>
        <w:tabs>
          <w:tab w:val="left" w:pos="1800"/>
        </w:tabs>
        <w:spacing w:before="120" w:after="120"/>
        <w:ind w:left="567" w:hanging="425"/>
        <w:jc w:val="both"/>
        <w:rPr>
          <w:rFonts w:ascii="Times New Roman" w:hAnsi="Times New Roman"/>
          <w:sz w:val="24"/>
          <w:szCs w:val="24"/>
        </w:rPr>
      </w:pPr>
      <w:r w:rsidRPr="002E7B8D">
        <w:rPr>
          <w:rFonts w:ascii="Times New Roman" w:hAnsi="Times New Roman"/>
          <w:sz w:val="24"/>
          <w:szCs w:val="24"/>
        </w:rPr>
        <w:t xml:space="preserve">       -  Фізична особа – підприємець Добродькіна Ганна Вікторівна  – 600 000 грн., що становить 40 % складеного капіталу.</w:t>
      </w:r>
    </w:p>
    <w:p w:rsidR="00420155" w:rsidRPr="00206A8B" w:rsidRDefault="00420155" w:rsidP="00AF519E">
      <w:pPr>
        <w:pStyle w:val="ab"/>
        <w:spacing w:before="120" w:after="120"/>
        <w:ind w:firstLine="709"/>
        <w:rPr>
          <w:sz w:val="24"/>
          <w:szCs w:val="24"/>
          <w:lang w:eastAsia="uk-UA"/>
        </w:rPr>
      </w:pPr>
      <w:r w:rsidRPr="00206A8B">
        <w:rPr>
          <w:sz w:val="24"/>
          <w:szCs w:val="24"/>
          <w:lang w:eastAsia="uk-UA"/>
        </w:rPr>
        <w:t>Цілями діяльності Товариства є організація підприємницької діяльності, прийняття участі у формуванні та функціонуванні ринку фінансових послуг, задоволення потреб суспільства у матеріальних та нематеріальних благах,</w:t>
      </w:r>
      <w:r w:rsidR="00A92C2E" w:rsidRPr="00206A8B">
        <w:rPr>
          <w:sz w:val="24"/>
          <w:szCs w:val="24"/>
          <w:lang w:eastAsia="uk-UA"/>
        </w:rPr>
        <w:t xml:space="preserve"> </w:t>
      </w:r>
      <w:r w:rsidRPr="00206A8B">
        <w:rPr>
          <w:sz w:val="24"/>
          <w:szCs w:val="24"/>
          <w:lang w:eastAsia="uk-UA"/>
        </w:rPr>
        <w:t>отримання прибутку шляхом здійснення дозволених відповідним чинним законодавством</w:t>
      </w:r>
      <w:r w:rsidR="00A92C2E" w:rsidRPr="00206A8B">
        <w:rPr>
          <w:sz w:val="24"/>
          <w:szCs w:val="24"/>
          <w:lang w:eastAsia="uk-UA"/>
        </w:rPr>
        <w:t xml:space="preserve"> </w:t>
      </w:r>
      <w:r w:rsidRPr="00206A8B">
        <w:rPr>
          <w:sz w:val="24"/>
          <w:szCs w:val="24"/>
          <w:lang w:eastAsia="uk-UA"/>
        </w:rPr>
        <w:t>України видів послуг, ломбардної діяльності.</w:t>
      </w:r>
    </w:p>
    <w:p w:rsidR="00420155" w:rsidRPr="00206A8B" w:rsidRDefault="00420155" w:rsidP="00AF519E">
      <w:pPr>
        <w:pStyle w:val="ab"/>
        <w:spacing w:before="120" w:after="120"/>
        <w:ind w:firstLine="709"/>
        <w:rPr>
          <w:sz w:val="24"/>
          <w:szCs w:val="24"/>
          <w:lang w:eastAsia="uk-UA"/>
        </w:rPr>
      </w:pPr>
      <w:r w:rsidRPr="00206A8B">
        <w:rPr>
          <w:sz w:val="24"/>
          <w:szCs w:val="24"/>
          <w:lang w:eastAsia="uk-UA"/>
        </w:rPr>
        <w:t>Предметом діяльності Товариства є: здійснення виключного виду діяльності ломбарду з метою одержання прибутку шляхом надання на власний ризик фінансових кредитів фізичним особам за рахунок власних коштів, під заставу майна на визначений строк і під процент та н</w:t>
      </w:r>
      <w:r w:rsidR="00357C84" w:rsidRPr="00206A8B">
        <w:rPr>
          <w:sz w:val="24"/>
          <w:szCs w:val="24"/>
          <w:lang w:eastAsia="uk-UA"/>
        </w:rPr>
        <w:t>адання супутніх послуг ломбарду на ліцензійних умовах.</w:t>
      </w:r>
    </w:p>
    <w:p w:rsidR="008A7CE2" w:rsidRPr="00206A8B" w:rsidRDefault="00835383" w:rsidP="00AF519E">
      <w:pPr>
        <w:pStyle w:val="ab"/>
        <w:spacing w:before="120" w:after="120"/>
        <w:ind w:firstLine="709"/>
        <w:rPr>
          <w:sz w:val="24"/>
          <w:szCs w:val="24"/>
          <w:lang w:eastAsia="uk-UA"/>
        </w:rPr>
      </w:pPr>
      <w:r w:rsidRPr="00206A8B">
        <w:rPr>
          <w:sz w:val="24"/>
          <w:szCs w:val="24"/>
          <w:lang w:eastAsia="uk-UA"/>
        </w:rPr>
        <w:t xml:space="preserve">Для здійснення підприємницької діяльності Товариство </w:t>
      </w:r>
      <w:r w:rsidR="003B1CC0" w:rsidRPr="00206A8B">
        <w:rPr>
          <w:sz w:val="24"/>
          <w:szCs w:val="24"/>
          <w:lang w:eastAsia="uk-UA"/>
        </w:rPr>
        <w:t>отримало</w:t>
      </w:r>
      <w:r w:rsidRPr="00206A8B">
        <w:rPr>
          <w:sz w:val="24"/>
          <w:szCs w:val="24"/>
          <w:lang w:eastAsia="uk-UA"/>
        </w:rPr>
        <w:t xml:space="preserve"> </w:t>
      </w:r>
      <w:r w:rsidR="00357C84" w:rsidRPr="00206A8B">
        <w:rPr>
          <w:sz w:val="24"/>
          <w:szCs w:val="24"/>
          <w:lang w:eastAsia="uk-UA"/>
        </w:rPr>
        <w:t>Ліцензі</w:t>
      </w:r>
      <w:r w:rsidRPr="00206A8B">
        <w:rPr>
          <w:sz w:val="24"/>
          <w:szCs w:val="24"/>
          <w:lang w:eastAsia="uk-UA"/>
        </w:rPr>
        <w:t>ю</w:t>
      </w:r>
      <w:r w:rsidR="00357C84" w:rsidRPr="00206A8B">
        <w:rPr>
          <w:sz w:val="24"/>
          <w:szCs w:val="24"/>
          <w:lang w:eastAsia="uk-UA"/>
        </w:rPr>
        <w:t xml:space="preserve"> </w:t>
      </w:r>
      <w:r w:rsidR="008A7CE2" w:rsidRPr="00206A8B">
        <w:rPr>
          <w:sz w:val="24"/>
          <w:szCs w:val="24"/>
          <w:lang w:eastAsia="uk-UA"/>
        </w:rPr>
        <w:t>на провадження господарської діяльності з надання фінансових послуг, а саме на надання коштів у позику, в тому числі на умо</w:t>
      </w:r>
      <w:r w:rsidR="003B1CC0" w:rsidRPr="00206A8B">
        <w:rPr>
          <w:sz w:val="24"/>
          <w:szCs w:val="24"/>
          <w:lang w:eastAsia="uk-UA"/>
        </w:rPr>
        <w:t>вах фінансового кредиту, видану</w:t>
      </w:r>
      <w:r w:rsidR="008A7CE2" w:rsidRPr="00206A8B">
        <w:rPr>
          <w:sz w:val="24"/>
          <w:szCs w:val="24"/>
          <w:lang w:eastAsia="uk-UA"/>
        </w:rPr>
        <w:t xml:space="preserve"> Розпорядженням  Нацкомфінпослуг №2723 від 20.06.2017року.</w:t>
      </w:r>
    </w:p>
    <w:p w:rsidR="00420155" w:rsidRPr="00206A8B" w:rsidRDefault="00357C84" w:rsidP="00616C7B">
      <w:pPr>
        <w:pStyle w:val="ab"/>
        <w:ind w:firstLine="709"/>
        <w:rPr>
          <w:sz w:val="24"/>
          <w:szCs w:val="24"/>
          <w:lang w:eastAsia="uk-UA"/>
        </w:rPr>
      </w:pPr>
      <w:r w:rsidRPr="00206A8B">
        <w:rPr>
          <w:sz w:val="24"/>
          <w:szCs w:val="24"/>
          <w:lang w:eastAsia="uk-UA"/>
        </w:rPr>
        <w:t xml:space="preserve"> </w:t>
      </w:r>
      <w:r w:rsidR="00420155" w:rsidRPr="00206A8B">
        <w:rPr>
          <w:sz w:val="24"/>
          <w:szCs w:val="24"/>
          <w:lang w:eastAsia="uk-UA"/>
        </w:rPr>
        <w:t>Фінансові послуги ломбарду:</w:t>
      </w:r>
    </w:p>
    <w:p w:rsidR="00420155" w:rsidRPr="00206A8B" w:rsidRDefault="00420155" w:rsidP="00616C7B">
      <w:pPr>
        <w:pStyle w:val="ab"/>
        <w:numPr>
          <w:ilvl w:val="0"/>
          <w:numId w:val="19"/>
        </w:numPr>
        <w:ind w:left="0" w:firstLine="709"/>
        <w:rPr>
          <w:sz w:val="24"/>
          <w:szCs w:val="24"/>
          <w:lang w:eastAsia="uk-UA"/>
        </w:rPr>
      </w:pPr>
      <w:r w:rsidRPr="00206A8B">
        <w:rPr>
          <w:sz w:val="24"/>
          <w:szCs w:val="24"/>
          <w:lang w:eastAsia="uk-UA"/>
        </w:rPr>
        <w:t>надання фінансових кредитів за рахунок власних коштів;</w:t>
      </w:r>
    </w:p>
    <w:p w:rsidR="00FA4003" w:rsidRPr="00FA4003" w:rsidRDefault="00FA4003" w:rsidP="00616C7B">
      <w:pPr>
        <w:shd w:val="clear" w:color="auto" w:fill="FFFFFF"/>
        <w:autoSpaceDE w:val="0"/>
        <w:autoSpaceDN w:val="0"/>
        <w:adjustRightInd w:val="0"/>
        <w:spacing w:line="264" w:lineRule="auto"/>
        <w:ind w:firstLine="708"/>
        <w:jc w:val="both"/>
      </w:pPr>
      <w:r w:rsidRPr="00FA4003">
        <w:t>Станом</w:t>
      </w:r>
      <w:r w:rsidR="00750158">
        <w:t xml:space="preserve"> на 31.12.2020</w:t>
      </w:r>
      <w:r>
        <w:t xml:space="preserve"> р. Ломбард має 19</w:t>
      </w:r>
      <w:r w:rsidRPr="00FA4003">
        <w:t xml:space="preserve"> відокремлених підрозділів.</w:t>
      </w:r>
    </w:p>
    <w:p w:rsidR="00FA4003" w:rsidRDefault="00FA4003" w:rsidP="00FA4003">
      <w:pPr>
        <w:shd w:val="clear" w:color="auto" w:fill="FFFFFF"/>
        <w:autoSpaceDE w:val="0"/>
        <w:autoSpaceDN w:val="0"/>
        <w:adjustRightInd w:val="0"/>
        <w:spacing w:before="120" w:after="120" w:line="264" w:lineRule="auto"/>
        <w:ind w:firstLine="708"/>
        <w:jc w:val="both"/>
      </w:pPr>
      <w:r w:rsidRPr="00FA4003">
        <w:t>Середня кількі</w:t>
      </w:r>
      <w:r w:rsidR="00932899">
        <w:t>сть працівників Ломбарду за 2020</w:t>
      </w:r>
      <w:r w:rsidRPr="00FA4003">
        <w:t xml:space="preserve"> рік </w:t>
      </w:r>
      <w:r>
        <w:t>по штатному ро</w:t>
      </w:r>
      <w:r w:rsidR="00932899">
        <w:t>зкладу складає 21</w:t>
      </w:r>
      <w:r>
        <w:t xml:space="preserve"> особу</w:t>
      </w:r>
      <w:r w:rsidRPr="00FA4003">
        <w:t>.</w:t>
      </w:r>
    </w:p>
    <w:p w:rsidR="00A77736" w:rsidRPr="00AE2775" w:rsidRDefault="00A77736" w:rsidP="00A77736">
      <w:pPr>
        <w:spacing w:before="120" w:after="120"/>
        <w:rPr>
          <w:b/>
          <w:smallCaps/>
          <w:lang w:val="uk-UA"/>
        </w:rPr>
      </w:pPr>
      <w:r w:rsidRPr="00AE2775">
        <w:rPr>
          <w:b/>
          <w:smallCaps/>
          <w:lang w:val="uk-UA"/>
        </w:rPr>
        <w:t>2. Умови функціонування, ризики та економічна ситуація в Україні</w:t>
      </w:r>
    </w:p>
    <w:p w:rsidR="00932899" w:rsidRPr="00655F9A" w:rsidRDefault="00932899" w:rsidP="00932899">
      <w:pPr>
        <w:spacing w:before="120" w:after="120"/>
        <w:ind w:firstLine="708"/>
        <w:jc w:val="both"/>
        <w:rPr>
          <w:lang w:val="uk-UA"/>
        </w:rPr>
      </w:pPr>
      <w:r w:rsidRPr="00655F9A">
        <w:rPr>
          <w:lang w:val="uk-UA"/>
        </w:rPr>
        <w:t>Макроекономічна ситуація в Україні залишалась досить сприятливою протягом 2019 року, але в кінці першого кварталу 2020 року ситуація змінилась досить кардинально. Обмеження ділової активності, що були застосовані у межах боротьби із пандемією COVID-19 та карантин, суттєво затримали розвиток української економіки та привели до спаду на рівні 4,4 % ВВП та прискоренню інфляції до 5 % за підсумками 2020 року.</w:t>
      </w:r>
    </w:p>
    <w:p w:rsidR="00932899" w:rsidRPr="00655F9A" w:rsidRDefault="00932899" w:rsidP="00932899">
      <w:pPr>
        <w:spacing w:before="120" w:after="120"/>
        <w:ind w:firstLine="708"/>
        <w:jc w:val="both"/>
        <w:rPr>
          <w:lang w:val="uk-UA"/>
        </w:rPr>
      </w:pPr>
      <w:r w:rsidRPr="00655F9A">
        <w:rPr>
          <w:lang w:val="uk-UA"/>
        </w:rPr>
        <w:t xml:space="preserve">Заходи, які вживають багато країн та Україна для стримування поширення COVID-19, призводять до значних операційних складнощів для багатьох компаній і завдають істотного впливу на світові фінансові ринки. Оскільки ситуація швидко розвивається, COVID-19 може </w:t>
      </w:r>
      <w:r w:rsidRPr="00655F9A">
        <w:rPr>
          <w:lang w:val="uk-UA"/>
        </w:rPr>
        <w:lastRenderedPageBreak/>
        <w:t>істотно вплинути на діяльність багатьох компаній у різних секторах економіки, включно, але не обмежуючись, порушенням операційної діяльності у результаті призупинення або закриття виробництва, порушенням ланцюгів постачань, карантином персоналу, зниженням попиту та труднощами з отриманням фінансування. Окрім того, Товариство може зіштовхнутися з іще більшим впливом COVID-19 у результаті його негативного впливу на глобальну економіку та основні фінансові ринки. Істотність впливу COVID-19 на операційну діяльність Товариства великою мірою залежить від тривалості та поширення впливу вірусу на світову та українську економіку. Суттєвих змін щодо загальної стратегії Товариства у зв’язку з умовами ведення бізнесу в умовах карантину не відбулося. Безпосередні наслідки поширення коронавірусу COVID-19 вплинули на фізичні канали стосунків, а саме Товариством введено тимчасові обмеження на допустиму кількість одночасного перебування клієнтів в приміщені відділень та вжито заходів, щодо постійної дезінфекції відділень.</w:t>
      </w:r>
    </w:p>
    <w:p w:rsidR="00932899" w:rsidRPr="00655F9A" w:rsidRDefault="00932899" w:rsidP="00932899">
      <w:pPr>
        <w:spacing w:before="120" w:after="120"/>
        <w:ind w:firstLine="708"/>
        <w:jc w:val="both"/>
        <w:rPr>
          <w:lang w:val="uk-UA"/>
        </w:rPr>
      </w:pPr>
      <w:r w:rsidRPr="00655F9A">
        <w:rPr>
          <w:lang w:val="uk-UA"/>
        </w:rPr>
        <w:t>В подальшому, найбільший вплив на Товариство може мати невизначеність, результат якої залежить від майбутніх подій, що не є під безпосереднім контролем Товариства, але які можуть впливати на його фінансові звіти в майбутньому. При цьому, Товариство має значний запас ліквідності та капіталу для забезпечення своєчасного розрахунку за всіма зобов’язаннями.</w:t>
      </w:r>
    </w:p>
    <w:p w:rsidR="00A77736" w:rsidRPr="00AE2775" w:rsidRDefault="00A77736" w:rsidP="00A77736">
      <w:pPr>
        <w:spacing w:before="120" w:after="120"/>
        <w:rPr>
          <w:b/>
          <w:smallCaps/>
          <w:lang w:val="uk-UA"/>
        </w:rPr>
      </w:pPr>
      <w:r w:rsidRPr="00AE2775">
        <w:rPr>
          <w:b/>
          <w:smallCaps/>
          <w:lang w:val="uk-UA"/>
        </w:rPr>
        <w:t>3. Основи подання фінансової звітності</w:t>
      </w:r>
    </w:p>
    <w:p w:rsidR="00A77736" w:rsidRPr="00AE2775" w:rsidRDefault="00A77736" w:rsidP="00A77736">
      <w:pPr>
        <w:spacing w:before="120" w:after="120"/>
        <w:jc w:val="both"/>
        <w:rPr>
          <w:b/>
          <w:bCs/>
          <w:lang w:val="uk-UA"/>
        </w:rPr>
      </w:pPr>
      <w:r w:rsidRPr="00AE2775">
        <w:rPr>
          <w:b/>
          <w:bCs/>
          <w:lang w:val="uk-UA"/>
        </w:rPr>
        <w:t xml:space="preserve">Підтвердження відповідності </w:t>
      </w:r>
    </w:p>
    <w:p w:rsidR="00A77736" w:rsidRPr="00AE2775" w:rsidRDefault="00A77736" w:rsidP="00A77736">
      <w:pPr>
        <w:spacing w:before="120" w:after="120"/>
        <w:jc w:val="both"/>
        <w:rPr>
          <w:lang w:val="uk-UA"/>
        </w:rPr>
      </w:pPr>
      <w:r w:rsidRPr="00AE2775">
        <w:rPr>
          <w:lang w:val="uk-UA"/>
        </w:rPr>
        <w:t>Дана фінансова звітність була підготовлена відповідно до Міжнародних стандартів фінансової звітності (МСФЗ), випущених Радою з Міжнародних стандартів бухгалтерського обліку (РМСБО), та пояснень, опублікованих Міжнародним Комітетом з тлумачення фінансової звітності (МКТФЗ). Товариство не  застосовувало достроково жодних стандартів, змін та поправок або їх інтерпретацій, які ще не набули чинності.</w:t>
      </w:r>
    </w:p>
    <w:p w:rsidR="00A77736" w:rsidRPr="00AE2775" w:rsidRDefault="00A77736" w:rsidP="00A77736">
      <w:pPr>
        <w:spacing w:before="120" w:after="120"/>
        <w:jc w:val="both"/>
        <w:rPr>
          <w:b/>
          <w:lang w:val="uk-UA"/>
        </w:rPr>
      </w:pPr>
      <w:r w:rsidRPr="00AE2775">
        <w:rPr>
          <w:b/>
          <w:lang w:val="uk-UA"/>
        </w:rPr>
        <w:t>Основні принципи бухгалтерського обліку</w:t>
      </w:r>
    </w:p>
    <w:p w:rsidR="00A77736" w:rsidRPr="00AE2775" w:rsidRDefault="00A77736" w:rsidP="00A77736">
      <w:pPr>
        <w:spacing w:before="120" w:after="120"/>
        <w:jc w:val="both"/>
        <w:rPr>
          <w:lang w:val="uk-UA"/>
        </w:rPr>
      </w:pPr>
      <w:r w:rsidRPr="00AE2775">
        <w:rPr>
          <w:lang w:val="uk-UA"/>
        </w:rPr>
        <w:t>Фінансова звітність складена на підставі даних бухгалтерського обліку, який ведеться згідно з українським законодавством та у відповідності до вимог МСБО, МСФЗ. Вихідні залишки фінансової звітності за попередній період є вхідними залишками фінансової звітності за звітний період.</w:t>
      </w:r>
    </w:p>
    <w:p w:rsidR="00A77736" w:rsidRPr="00AE2775" w:rsidRDefault="00A77736" w:rsidP="00A77736">
      <w:pPr>
        <w:spacing w:before="120" w:after="120"/>
        <w:jc w:val="both"/>
        <w:rPr>
          <w:b/>
          <w:lang w:val="uk-UA"/>
        </w:rPr>
      </w:pPr>
      <w:r w:rsidRPr="00AE2775">
        <w:rPr>
          <w:b/>
          <w:lang w:val="uk-UA"/>
        </w:rPr>
        <w:t>Функціональна валюта</w:t>
      </w:r>
    </w:p>
    <w:p w:rsidR="00A77736" w:rsidRPr="00AE2775" w:rsidRDefault="00A77736" w:rsidP="00A77736">
      <w:pPr>
        <w:spacing w:before="120" w:after="120"/>
        <w:jc w:val="both"/>
        <w:rPr>
          <w:lang w:val="uk-UA"/>
        </w:rPr>
      </w:pPr>
      <w:r w:rsidRPr="00AE2775">
        <w:rPr>
          <w:lang w:val="uk-UA"/>
        </w:rPr>
        <w:t xml:space="preserve">Функціональною валютою, у якій ведеться бухгалтерський облік Товариства є грошова одиниця України – гривня. Товариство складає та подає фінансову звітність у тисячах гривень, якщо не зазначено інше. Сума менша ніж 500 гривень округлюється до нуля, сума, що дорівнює 500 гривень та більше, округлюється до 1000 гривень. </w:t>
      </w:r>
    </w:p>
    <w:p w:rsidR="00A77736" w:rsidRPr="00AE2775" w:rsidRDefault="00A77736" w:rsidP="00A77736">
      <w:pPr>
        <w:spacing w:before="120" w:after="120"/>
        <w:rPr>
          <w:b/>
          <w:smallCaps/>
          <w:lang w:val="uk-UA"/>
        </w:rPr>
      </w:pPr>
      <w:r w:rsidRPr="00AE2775">
        <w:rPr>
          <w:b/>
          <w:smallCaps/>
          <w:lang w:val="uk-UA"/>
        </w:rPr>
        <w:t>4. Основні положення облікової політики</w:t>
      </w:r>
    </w:p>
    <w:p w:rsidR="00A77736" w:rsidRPr="00AE2775" w:rsidRDefault="00A77736" w:rsidP="00A77736">
      <w:pPr>
        <w:spacing w:before="120" w:after="120"/>
        <w:jc w:val="both"/>
        <w:rPr>
          <w:lang w:val="uk-UA"/>
        </w:rPr>
      </w:pPr>
      <w:r w:rsidRPr="00AE2775">
        <w:rPr>
          <w:lang w:val="uk-UA"/>
        </w:rPr>
        <w:t>Основні принципи облікової політики, що використовувались у ході підготовки цієї фінансової звітності, наведено далі. Ці принципи застосовувались послідовно відносно всіх періодів, поданих у звітності, якщо не зазначено інше.</w:t>
      </w:r>
    </w:p>
    <w:p w:rsidR="00A77736" w:rsidRPr="00AE2775" w:rsidRDefault="00A77736" w:rsidP="00A77736">
      <w:pPr>
        <w:spacing w:before="120" w:after="120"/>
        <w:jc w:val="both"/>
        <w:rPr>
          <w:b/>
          <w:bCs/>
          <w:lang w:val="uk-UA"/>
        </w:rPr>
      </w:pPr>
      <w:r w:rsidRPr="00AE2775">
        <w:rPr>
          <w:b/>
          <w:bCs/>
          <w:lang w:val="uk-UA"/>
        </w:rPr>
        <w:t>Основи оцінки складання фінансової звітності</w:t>
      </w:r>
    </w:p>
    <w:p w:rsidR="00A77736" w:rsidRPr="00AE2775" w:rsidRDefault="00A77736" w:rsidP="00A77736">
      <w:pPr>
        <w:spacing w:before="120" w:after="120"/>
        <w:jc w:val="both"/>
        <w:rPr>
          <w:bCs/>
          <w:lang w:val="uk-UA"/>
        </w:rPr>
      </w:pPr>
      <w:r w:rsidRPr="00AE2775">
        <w:rPr>
          <w:bCs/>
          <w:lang w:val="uk-UA"/>
        </w:rPr>
        <w:t>Ця фінансова звітність була підготовлена відповідно до МСФЗ на основі принципу історичної вартості, з коригуваннями на початкове визнання фінансових інструментів за справедливою вартістю та переоцінку фінансових активів для  подальшого продажу і фінансових інструментів, що обліковуються за справедливою вартістю, зміни якої відносяться на фінансових результат.</w:t>
      </w:r>
    </w:p>
    <w:p w:rsidR="00A77736" w:rsidRPr="00AE2775" w:rsidRDefault="00A77736" w:rsidP="00A77736">
      <w:pPr>
        <w:spacing w:before="120" w:after="120"/>
        <w:jc w:val="both"/>
        <w:rPr>
          <w:bCs/>
          <w:lang w:val="uk-UA"/>
        </w:rPr>
      </w:pPr>
      <w:r w:rsidRPr="00AE2775">
        <w:rPr>
          <w:bCs/>
          <w:lang w:val="uk-UA"/>
        </w:rPr>
        <w:t>Загальні принципи, що складають облікову політику Товариства і є основою для однакового розуміння та підходів при відображенні операцій у бухгалтерському обліку, наступні:</w:t>
      </w:r>
    </w:p>
    <w:p w:rsidR="00A77736" w:rsidRPr="00AE2775" w:rsidRDefault="00A77736" w:rsidP="00A77736">
      <w:pPr>
        <w:spacing w:before="120" w:after="120"/>
        <w:jc w:val="both"/>
        <w:rPr>
          <w:bCs/>
          <w:lang w:val="uk-UA"/>
        </w:rPr>
      </w:pPr>
      <w:r w:rsidRPr="00AE2775">
        <w:rPr>
          <w:bCs/>
          <w:lang w:val="uk-UA"/>
        </w:rPr>
        <w:t xml:space="preserve">безперервність діяльності, нарахування та відповідність доходів і витрат, повне висвітлення, </w:t>
      </w:r>
      <w:r w:rsidRPr="00AE2775">
        <w:rPr>
          <w:bCs/>
          <w:lang w:val="uk-UA"/>
        </w:rPr>
        <w:lastRenderedPageBreak/>
        <w:t>превалювання сутності над формою, автономність, обачність, послідовність, достовірне представлення, нейтральність. Облік, ґрунтуючись на зазначених принципах, має забезпечити одержання достовірної,  якісної, своєчасної та доступної для розуміння  інформації з метою прийняття її користувачами відповідних рішень.</w:t>
      </w:r>
    </w:p>
    <w:p w:rsidR="00A77736" w:rsidRPr="00AE2775" w:rsidRDefault="00A77736" w:rsidP="00A77736">
      <w:pPr>
        <w:spacing w:before="120" w:after="120"/>
        <w:jc w:val="both"/>
        <w:rPr>
          <w:b/>
          <w:bCs/>
          <w:i/>
          <w:lang w:val="uk-UA"/>
        </w:rPr>
      </w:pPr>
      <w:r w:rsidRPr="00AE2775">
        <w:rPr>
          <w:b/>
          <w:bCs/>
          <w:lang w:val="uk-UA"/>
        </w:rPr>
        <w:t xml:space="preserve">Фінансові інструменти. Класифікація. </w:t>
      </w:r>
      <w:r w:rsidRPr="00AE2775">
        <w:rPr>
          <w:b/>
          <w:bCs/>
          <w:i/>
          <w:lang w:val="uk-UA"/>
        </w:rPr>
        <w:t>МСБО 32 «Фінансові інструменти: подання», МСФЗ 7 «Фінансові інструменти: розкриття інформації», МСФЗ 9 «Фінансові інструменти».</w:t>
      </w:r>
    </w:p>
    <w:p w:rsidR="00A77736" w:rsidRPr="00AE2775" w:rsidRDefault="00A77736" w:rsidP="00A77736">
      <w:pPr>
        <w:spacing w:before="120" w:after="120"/>
        <w:jc w:val="both"/>
        <w:rPr>
          <w:bCs/>
          <w:lang w:val="uk-UA"/>
        </w:rPr>
      </w:pPr>
      <w:r w:rsidRPr="00AE2775">
        <w:rPr>
          <w:bCs/>
          <w:lang w:val="uk-UA"/>
        </w:rPr>
        <w:t xml:space="preserve">Класифікація фінансових активів базується на комбінації бізнес-моделі управління активами та характеристик грошових потоків та визначає модель оцінки. Товариство після первісного визнання оцінює борговий фінансовий актив на основі бізнес-моделі та характеристик грошових потоків, передбачених договором, за: </w:t>
      </w:r>
    </w:p>
    <w:p w:rsidR="00A77736" w:rsidRPr="00AE2775" w:rsidRDefault="00A77736" w:rsidP="00A77736">
      <w:pPr>
        <w:widowControl/>
        <w:numPr>
          <w:ilvl w:val="0"/>
          <w:numId w:val="27"/>
        </w:numPr>
        <w:suppressAutoHyphens w:val="0"/>
        <w:spacing w:before="120" w:after="120"/>
        <w:jc w:val="both"/>
        <w:rPr>
          <w:bCs/>
          <w:lang w:val="uk-UA"/>
        </w:rPr>
      </w:pPr>
      <w:r w:rsidRPr="00AE2775">
        <w:rPr>
          <w:bCs/>
          <w:lang w:val="uk-UA"/>
        </w:rPr>
        <w:t>амортизованою собівартістю;</w:t>
      </w:r>
    </w:p>
    <w:p w:rsidR="00A77736" w:rsidRPr="00AE2775" w:rsidRDefault="00A77736" w:rsidP="00A77736">
      <w:pPr>
        <w:widowControl/>
        <w:numPr>
          <w:ilvl w:val="0"/>
          <w:numId w:val="27"/>
        </w:numPr>
        <w:suppressAutoHyphens w:val="0"/>
        <w:spacing w:before="120" w:after="120"/>
        <w:jc w:val="both"/>
        <w:rPr>
          <w:bCs/>
          <w:lang w:val="uk-UA"/>
        </w:rPr>
      </w:pPr>
      <w:r w:rsidRPr="00AE2775">
        <w:rPr>
          <w:bCs/>
          <w:lang w:val="uk-UA"/>
        </w:rPr>
        <w:t>справедливою вартістю з визнанням переоцінки в  іншому сукупному доході;</w:t>
      </w:r>
    </w:p>
    <w:p w:rsidR="00A77736" w:rsidRPr="00AE2775" w:rsidRDefault="00A77736" w:rsidP="00A77736">
      <w:pPr>
        <w:widowControl/>
        <w:numPr>
          <w:ilvl w:val="0"/>
          <w:numId w:val="27"/>
        </w:numPr>
        <w:suppressAutoHyphens w:val="0"/>
        <w:spacing w:before="120" w:after="120"/>
        <w:jc w:val="both"/>
        <w:rPr>
          <w:bCs/>
          <w:lang w:val="uk-UA"/>
        </w:rPr>
      </w:pPr>
      <w:r w:rsidRPr="00AE2775">
        <w:rPr>
          <w:bCs/>
          <w:lang w:val="uk-UA"/>
        </w:rPr>
        <w:t>справедливою вартістю з визнанням переоцінки через прибутки/збитки.</w:t>
      </w:r>
    </w:p>
    <w:p w:rsidR="00A77736" w:rsidRPr="00AE2775" w:rsidRDefault="00A77736" w:rsidP="00A77736">
      <w:pPr>
        <w:spacing w:before="120" w:after="120"/>
        <w:jc w:val="both"/>
        <w:rPr>
          <w:bCs/>
          <w:lang w:val="uk-UA"/>
        </w:rPr>
      </w:pPr>
      <w:r w:rsidRPr="00AE2775">
        <w:rPr>
          <w:bCs/>
          <w:lang w:val="uk-UA"/>
        </w:rPr>
        <w:t xml:space="preserve">Товариство визнає бізнес-модель не для кожного активу, а на рівні груп фінансових активів, якими управляє у сукупності для досягнення певної бізнес-цілі. </w:t>
      </w:r>
    </w:p>
    <w:p w:rsidR="00A77736" w:rsidRPr="00AE2775" w:rsidRDefault="00A77736" w:rsidP="00A77736">
      <w:pPr>
        <w:spacing w:before="120" w:after="120"/>
        <w:jc w:val="both"/>
        <w:rPr>
          <w:bCs/>
          <w:lang w:val="uk-UA"/>
        </w:rPr>
      </w:pPr>
      <w:r w:rsidRPr="00AE2775">
        <w:rPr>
          <w:bCs/>
          <w:lang w:val="uk-UA"/>
        </w:rPr>
        <w:t>Основна бізнес-модель, яку використовує Товариство – отримання контрактних грошових потоків.</w:t>
      </w:r>
    </w:p>
    <w:p w:rsidR="00A77736" w:rsidRPr="00AE2775" w:rsidRDefault="00A77736" w:rsidP="00A77736">
      <w:pPr>
        <w:spacing w:before="120" w:after="120"/>
        <w:jc w:val="both"/>
        <w:rPr>
          <w:b/>
          <w:bCs/>
          <w:lang w:val="uk-UA"/>
        </w:rPr>
      </w:pPr>
      <w:r w:rsidRPr="00AE2775">
        <w:rPr>
          <w:b/>
          <w:bCs/>
          <w:lang w:val="uk-UA"/>
        </w:rPr>
        <w:t>Первісна оцінка фінансових активів та фінансових зобов’язань.</w:t>
      </w:r>
    </w:p>
    <w:p w:rsidR="00A77736" w:rsidRPr="00AE2775" w:rsidRDefault="00A77736" w:rsidP="00A77736">
      <w:pPr>
        <w:spacing w:before="120" w:after="120"/>
        <w:jc w:val="both"/>
        <w:rPr>
          <w:bCs/>
          <w:lang w:val="uk-UA"/>
        </w:rPr>
      </w:pPr>
      <w:r w:rsidRPr="00AE2775">
        <w:rPr>
          <w:bCs/>
          <w:lang w:val="uk-UA"/>
        </w:rPr>
        <w:t xml:space="preserve">Під час первісного визнання фінансового активу або фінансового зобов’язання Товариство здійснює їх оцінку за справедливою вартістю плюс витрати на операцію, які прямо відносяться до придбання фінансового активу чи фінансового зобов’язання. </w:t>
      </w:r>
    </w:p>
    <w:p w:rsidR="00A77736" w:rsidRPr="00AE2775" w:rsidRDefault="00A77736" w:rsidP="00A77736">
      <w:pPr>
        <w:spacing w:before="120" w:after="120"/>
        <w:jc w:val="both"/>
        <w:rPr>
          <w:bCs/>
          <w:lang w:val="uk-UA"/>
        </w:rPr>
      </w:pPr>
      <w:r w:rsidRPr="00AE2775">
        <w:rPr>
          <w:bCs/>
          <w:lang w:val="uk-UA"/>
        </w:rPr>
        <w:t xml:space="preserve">Справедлива вартість - це ціна, яка була б отримана за продаж активу або сплачена за передавання зобов’язання у звичайній операції між учасниками ринку на дату оцінки. Справедлива вартість фінансового інструменту під час первісного визнання є ціна операції (тобто справедлива вартість наданих або отриманих коштів). </w:t>
      </w:r>
    </w:p>
    <w:p w:rsidR="00A77736" w:rsidRPr="00601BCC" w:rsidRDefault="00A77736" w:rsidP="00A77736">
      <w:pPr>
        <w:spacing w:before="120" w:after="120"/>
        <w:jc w:val="both"/>
        <w:rPr>
          <w:b/>
          <w:bCs/>
          <w:lang w:val="uk-UA"/>
        </w:rPr>
      </w:pPr>
      <w:r w:rsidRPr="00601BCC">
        <w:rPr>
          <w:b/>
          <w:bCs/>
          <w:lang w:val="uk-UA"/>
        </w:rPr>
        <w:t>Знецінення фінансових активів, модель очікуваних збитків.</w:t>
      </w:r>
    </w:p>
    <w:p w:rsidR="00A77736" w:rsidRPr="00601BCC" w:rsidRDefault="00A77736" w:rsidP="00A77736">
      <w:pPr>
        <w:spacing w:before="120" w:after="120"/>
        <w:jc w:val="both"/>
        <w:rPr>
          <w:bCs/>
          <w:lang w:val="uk-UA"/>
        </w:rPr>
      </w:pPr>
      <w:r w:rsidRPr="00601BCC">
        <w:rPr>
          <w:bCs/>
          <w:lang w:val="uk-UA"/>
        </w:rPr>
        <w:t xml:space="preserve">Основний принцип моделі «очікуваних збитків» полягає у відображені загальної картини погіршення або покращення кредитної якості фінансових інструментів. </w:t>
      </w:r>
    </w:p>
    <w:p w:rsidR="00A77736" w:rsidRPr="00601BCC" w:rsidRDefault="00A77736" w:rsidP="00A77736">
      <w:pPr>
        <w:spacing w:before="120" w:after="120"/>
        <w:jc w:val="both"/>
        <w:rPr>
          <w:bCs/>
          <w:lang w:val="uk-UA"/>
        </w:rPr>
      </w:pPr>
      <w:r w:rsidRPr="00601BCC">
        <w:rPr>
          <w:bCs/>
          <w:lang w:val="uk-UA"/>
        </w:rPr>
        <w:t>Сума очікуваних кредитних збитків, яка визнається у вигляді оціночного резерву, залежить від ступеню погіршення кредитної якості після первісного визнання. У відповідності із загальним підходом є дві бази оцінки:</w:t>
      </w:r>
    </w:p>
    <w:p w:rsidR="00A77736" w:rsidRPr="00601BCC" w:rsidRDefault="00A77736" w:rsidP="00A77736">
      <w:pPr>
        <w:widowControl/>
        <w:numPr>
          <w:ilvl w:val="0"/>
          <w:numId w:val="27"/>
        </w:numPr>
        <w:suppressAutoHyphens w:val="0"/>
        <w:spacing w:before="120" w:after="120"/>
        <w:jc w:val="both"/>
        <w:rPr>
          <w:bCs/>
          <w:lang w:val="uk-UA"/>
        </w:rPr>
      </w:pPr>
      <w:r w:rsidRPr="00601BCC">
        <w:rPr>
          <w:bCs/>
          <w:lang w:val="uk-UA"/>
        </w:rPr>
        <w:t>очікувані кредитні  збитки протягом 12 місяців (стадія 1), яка застосовується з моменту первісного визнання за умови відсутності значного погіршення кредитної якості;</w:t>
      </w:r>
    </w:p>
    <w:p w:rsidR="00A77736" w:rsidRPr="00601BCC" w:rsidRDefault="00A77736" w:rsidP="00A77736">
      <w:pPr>
        <w:widowControl/>
        <w:numPr>
          <w:ilvl w:val="0"/>
          <w:numId w:val="27"/>
        </w:numPr>
        <w:suppressAutoHyphens w:val="0"/>
        <w:spacing w:before="120" w:after="120"/>
        <w:jc w:val="both"/>
        <w:rPr>
          <w:bCs/>
          <w:lang w:val="uk-UA"/>
        </w:rPr>
      </w:pPr>
      <w:r w:rsidRPr="00601BCC">
        <w:rPr>
          <w:bCs/>
          <w:lang w:val="uk-UA"/>
        </w:rPr>
        <w:t>очікувані кредитні збитки протягом всього строку дії фінансового інструменту (стадія 2 та 3), яка застосовується у разі значного збільшення кредитного ризику.</w:t>
      </w:r>
    </w:p>
    <w:p w:rsidR="00A77736" w:rsidRPr="00601BCC" w:rsidRDefault="00A77736" w:rsidP="00A77736">
      <w:pPr>
        <w:spacing w:before="120" w:after="120"/>
        <w:jc w:val="both"/>
        <w:rPr>
          <w:bCs/>
          <w:lang w:val="uk-UA"/>
        </w:rPr>
      </w:pPr>
      <w:r w:rsidRPr="00601BCC">
        <w:rPr>
          <w:bCs/>
          <w:lang w:val="uk-UA"/>
        </w:rPr>
        <w:t xml:space="preserve">Розрахунок кредитних збитків згідно з МСФЗ 9 потребує використання історичної, поточної та прогнозної інформації. </w:t>
      </w:r>
    </w:p>
    <w:p w:rsidR="00A77736" w:rsidRPr="00601BCC" w:rsidRDefault="00A77736" w:rsidP="00616C7B">
      <w:pPr>
        <w:jc w:val="both"/>
        <w:rPr>
          <w:bCs/>
          <w:lang w:val="uk-UA"/>
        </w:rPr>
      </w:pPr>
      <w:r w:rsidRPr="00601BCC">
        <w:rPr>
          <w:bCs/>
          <w:lang w:val="uk-UA"/>
        </w:rPr>
        <w:t>Знецінені фінансові активи – це фінансові активи, за якими є об’єктивні докази  збитку чи спостерігається одна або декілька подій, що мають негативний вплив на очікувані грошові потоки за таким фінансовим активом. Підтвердженням знецінення фінансового активу є, зокрема, спостережні дані про такі події:</w:t>
      </w:r>
    </w:p>
    <w:p w:rsidR="00A77736" w:rsidRPr="00601BCC" w:rsidRDefault="00A77736" w:rsidP="00616C7B">
      <w:pPr>
        <w:widowControl/>
        <w:numPr>
          <w:ilvl w:val="0"/>
          <w:numId w:val="27"/>
        </w:numPr>
        <w:suppressAutoHyphens w:val="0"/>
        <w:jc w:val="both"/>
        <w:rPr>
          <w:bCs/>
          <w:lang w:val="uk-UA"/>
        </w:rPr>
      </w:pPr>
      <w:r w:rsidRPr="00601BCC">
        <w:rPr>
          <w:bCs/>
          <w:lang w:val="uk-UA"/>
        </w:rPr>
        <w:t>значні  фінансові труднощі позичальника;</w:t>
      </w:r>
    </w:p>
    <w:p w:rsidR="00A77736" w:rsidRPr="00601BCC" w:rsidRDefault="00A77736" w:rsidP="00616C7B">
      <w:pPr>
        <w:widowControl/>
        <w:numPr>
          <w:ilvl w:val="0"/>
          <w:numId w:val="27"/>
        </w:numPr>
        <w:suppressAutoHyphens w:val="0"/>
        <w:jc w:val="both"/>
        <w:rPr>
          <w:bCs/>
          <w:lang w:val="uk-UA"/>
        </w:rPr>
      </w:pPr>
      <w:r w:rsidRPr="00601BCC">
        <w:rPr>
          <w:bCs/>
          <w:lang w:val="uk-UA"/>
        </w:rPr>
        <w:t>порушення умов договору, такому як дефолт або прострочення платежу.</w:t>
      </w:r>
    </w:p>
    <w:p w:rsidR="00A77736" w:rsidRPr="00601BCC" w:rsidRDefault="00A77736" w:rsidP="00A77736">
      <w:pPr>
        <w:spacing w:before="120" w:after="120"/>
        <w:jc w:val="both"/>
        <w:rPr>
          <w:bCs/>
          <w:lang w:val="uk-UA"/>
        </w:rPr>
      </w:pPr>
      <w:r w:rsidRPr="00601BCC">
        <w:rPr>
          <w:bCs/>
          <w:lang w:val="uk-UA"/>
        </w:rPr>
        <w:lastRenderedPageBreak/>
        <w:t xml:space="preserve">Кредитний збиток – це різниця між теперішньою вартістю грошових потоків згідно з умовами договору та теперішньою вартістю грошових потоків, які Товариство очікує отримати, дисконтованих за ефективною ставкою. </w:t>
      </w:r>
    </w:p>
    <w:p w:rsidR="00A77736" w:rsidRPr="00601BCC" w:rsidRDefault="00A77736" w:rsidP="00A77736">
      <w:pPr>
        <w:spacing w:before="120" w:after="120"/>
        <w:jc w:val="both"/>
        <w:rPr>
          <w:b/>
          <w:bCs/>
          <w:lang w:val="uk-UA"/>
        </w:rPr>
      </w:pPr>
      <w:r w:rsidRPr="00601BCC">
        <w:rPr>
          <w:b/>
          <w:bCs/>
          <w:lang w:val="uk-UA"/>
        </w:rPr>
        <w:t>Припинення визнання фінансових інструментів.</w:t>
      </w:r>
    </w:p>
    <w:p w:rsidR="00A77736" w:rsidRPr="00601BCC" w:rsidRDefault="00A77736" w:rsidP="00A77736">
      <w:pPr>
        <w:spacing w:before="120" w:after="120"/>
        <w:jc w:val="both"/>
        <w:rPr>
          <w:bCs/>
          <w:lang w:val="uk-UA"/>
        </w:rPr>
      </w:pPr>
      <w:r w:rsidRPr="00601BCC">
        <w:rPr>
          <w:bCs/>
          <w:lang w:val="uk-UA"/>
        </w:rPr>
        <w:t>Товариство припиняє визнавати фінансові активи, коли активи погашені  або права на отримання грошових потоків від  активів втратили свою чинність.</w:t>
      </w:r>
    </w:p>
    <w:p w:rsidR="00A77736" w:rsidRPr="00601BCC" w:rsidRDefault="00A77736" w:rsidP="00A77736">
      <w:pPr>
        <w:spacing w:before="120" w:after="120"/>
        <w:jc w:val="both"/>
        <w:rPr>
          <w:bCs/>
          <w:lang w:val="uk-UA"/>
        </w:rPr>
      </w:pPr>
      <w:r w:rsidRPr="00601BCC">
        <w:rPr>
          <w:bCs/>
          <w:lang w:val="uk-UA"/>
        </w:rPr>
        <w:t>Припинення визнання фінансового зобов’язання, коли фінансове зобов’язання припиняється, тобто, якщо заборгованість погашено, анульовано або строк її дії закінчується.</w:t>
      </w:r>
    </w:p>
    <w:p w:rsidR="00A77736" w:rsidRPr="00601BCC" w:rsidRDefault="00A77736" w:rsidP="00A77736">
      <w:pPr>
        <w:spacing w:before="120" w:after="120"/>
        <w:jc w:val="both"/>
        <w:rPr>
          <w:b/>
          <w:bCs/>
          <w:lang w:val="uk-UA"/>
        </w:rPr>
      </w:pPr>
      <w:r w:rsidRPr="00601BCC">
        <w:rPr>
          <w:b/>
          <w:bCs/>
          <w:lang w:val="uk-UA"/>
        </w:rPr>
        <w:t xml:space="preserve">Грошові кошти та їх еквіваленти.  </w:t>
      </w:r>
    </w:p>
    <w:p w:rsidR="00A77736" w:rsidRPr="00601BCC" w:rsidRDefault="00A77736" w:rsidP="00A77736">
      <w:pPr>
        <w:spacing w:before="120" w:after="120"/>
        <w:jc w:val="both"/>
        <w:rPr>
          <w:color w:val="000000"/>
          <w:lang w:val="uk-UA"/>
        </w:rPr>
      </w:pPr>
      <w:r w:rsidRPr="00601BCC">
        <w:rPr>
          <w:color w:val="000000"/>
          <w:lang w:val="uk-UA"/>
        </w:rPr>
        <w:t>Грошові кошти та їх еквіваленти являють собою активи, які можна конвертувати у відому суму готівки за першою вимогою і яким притаманний ризик зміни вартості. Грошові кошти та їх еквіваленти включають залишки на рахунках в банку, які не є обмеженими для використання та грошові кошти в касах. Усі грошові кошти, використання яких будь-яким чином є обмеженим, не включаються до складу грошових коштів та їх еквівалентів. Грошові кошти та їх еквіваленти обліковуються за амортизованою вартістю з використанням ефективної ставки відсотка.</w:t>
      </w:r>
    </w:p>
    <w:p w:rsidR="00A77736" w:rsidRPr="00601BCC" w:rsidRDefault="00A77736" w:rsidP="00A77736">
      <w:pPr>
        <w:spacing w:before="120" w:after="120"/>
        <w:jc w:val="both"/>
        <w:rPr>
          <w:b/>
          <w:bCs/>
          <w:i/>
          <w:lang w:val="uk-UA"/>
        </w:rPr>
      </w:pPr>
      <w:r w:rsidRPr="00601BCC">
        <w:rPr>
          <w:b/>
          <w:color w:val="000000"/>
          <w:lang w:val="uk-UA"/>
        </w:rPr>
        <w:t xml:space="preserve">Кредити та заборгованість клієнтів. </w:t>
      </w:r>
      <w:r w:rsidRPr="00601BCC">
        <w:rPr>
          <w:b/>
          <w:bCs/>
          <w:i/>
          <w:lang w:val="uk-UA"/>
        </w:rPr>
        <w:t>МСБО 32 «Фінансові інструменти: подання», МСФЗ 9 «Фінансові інструменти».</w:t>
      </w:r>
    </w:p>
    <w:p w:rsidR="00A77736" w:rsidRPr="00601BCC" w:rsidRDefault="00A77736" w:rsidP="00A77736">
      <w:pPr>
        <w:spacing w:before="120" w:after="120"/>
        <w:jc w:val="both"/>
        <w:rPr>
          <w:bCs/>
          <w:lang w:val="uk-UA"/>
        </w:rPr>
      </w:pPr>
      <w:r w:rsidRPr="00601BCC">
        <w:rPr>
          <w:color w:val="000000"/>
          <w:lang w:val="uk-UA"/>
        </w:rPr>
        <w:t xml:space="preserve">Кредити та аванси клієнтам обліковуються, коли Товариство надає грошові кошти клієнтам з метою придбання або створення дебіторської заборгованості, яка не пов’язана з похідними  фінансовими інструментами, не котирується на відкритому ринку та має бути погашена на встановлену чи визначену дату; про цьому Товариство не має намір здійснювати торгові операції з цією дебіторською заборгованістю. </w:t>
      </w:r>
      <w:r w:rsidRPr="00601BCC">
        <w:rPr>
          <w:bCs/>
          <w:lang w:val="uk-UA"/>
        </w:rPr>
        <w:t xml:space="preserve">Бізнес-модель, яка застосовується Товариством для управління кредитним портфелем – отримання грошових коштів. Кредити та аванси клієнтам обліковуються за амортизованою вартістю з використанням ефективної ставки відсотка. </w:t>
      </w:r>
    </w:p>
    <w:p w:rsidR="00A77736" w:rsidRPr="00601BCC" w:rsidRDefault="00A77736" w:rsidP="00A77736">
      <w:pPr>
        <w:spacing w:before="120" w:after="120"/>
        <w:jc w:val="both"/>
        <w:rPr>
          <w:b/>
          <w:bCs/>
          <w:i/>
          <w:lang w:val="uk-UA"/>
        </w:rPr>
      </w:pPr>
      <w:r w:rsidRPr="00601BCC">
        <w:rPr>
          <w:b/>
          <w:bCs/>
          <w:lang w:val="uk-UA"/>
        </w:rPr>
        <w:t xml:space="preserve">Основні засоби, амортизація. </w:t>
      </w:r>
      <w:r w:rsidRPr="00601BCC">
        <w:rPr>
          <w:b/>
          <w:bCs/>
          <w:i/>
          <w:lang w:val="uk-UA"/>
        </w:rPr>
        <w:t>МСБО 16 «Основні засоби».</w:t>
      </w:r>
    </w:p>
    <w:p w:rsidR="00A77736" w:rsidRPr="00601BCC" w:rsidRDefault="00A77736" w:rsidP="00A77736">
      <w:pPr>
        <w:spacing w:before="120" w:after="120"/>
        <w:jc w:val="both"/>
        <w:rPr>
          <w:color w:val="000000"/>
          <w:lang w:val="uk-UA"/>
        </w:rPr>
      </w:pPr>
      <w:r w:rsidRPr="00601BCC">
        <w:rPr>
          <w:color w:val="000000"/>
          <w:lang w:val="uk-UA"/>
        </w:rPr>
        <w:t>Товариство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функцій, очікуваний строк корисного використання (експлуатації) яких більше одного року та вартість яких більше 6 000 грн.</w:t>
      </w:r>
    </w:p>
    <w:p w:rsidR="00A77736" w:rsidRPr="00601BCC" w:rsidRDefault="00A77736" w:rsidP="00A77736">
      <w:pPr>
        <w:spacing w:before="120" w:after="120"/>
        <w:jc w:val="both"/>
        <w:rPr>
          <w:bCs/>
          <w:lang w:val="uk-UA"/>
        </w:rPr>
      </w:pPr>
      <w:r w:rsidRPr="00601BCC">
        <w:rPr>
          <w:bCs/>
          <w:lang w:val="uk-UA"/>
        </w:rPr>
        <w:t xml:space="preserve">Придбані (створені) основні засоби визнаються за первісною вартістю. Після первісного визнання подальший облік основних засобів, здійснюється за первісною вартістю (собівартістю) з вирахуванням накопиченої амортизації та накопичених збитків від зменшення корисності. </w:t>
      </w:r>
    </w:p>
    <w:p w:rsidR="00A77736" w:rsidRPr="00601BCC" w:rsidRDefault="00A77736" w:rsidP="00A77736">
      <w:pPr>
        <w:spacing w:before="120" w:after="120"/>
        <w:jc w:val="both"/>
        <w:rPr>
          <w:bCs/>
          <w:lang w:val="uk-UA"/>
        </w:rPr>
      </w:pPr>
      <w:r w:rsidRPr="00601BCC">
        <w:rPr>
          <w:bCs/>
          <w:lang w:val="uk-UA"/>
        </w:rPr>
        <w:t xml:space="preserve"> Витрати, що здійснюються для підтримання об’єктів основних засобів у придатному для використання стані та одержання визначеної суми майбутніх економічних вигод від його використання, включаються до складу витрат звітного періоду і не впливають на його залишкову вартість. </w:t>
      </w:r>
    </w:p>
    <w:p w:rsidR="00A77736" w:rsidRPr="00601BCC" w:rsidRDefault="00A77736" w:rsidP="00A77736">
      <w:pPr>
        <w:spacing w:before="120" w:after="120"/>
        <w:jc w:val="both"/>
        <w:rPr>
          <w:bCs/>
          <w:lang w:val="uk-UA"/>
        </w:rPr>
      </w:pPr>
      <w:r w:rsidRPr="00601BCC">
        <w:rPr>
          <w:bCs/>
          <w:lang w:val="uk-UA"/>
        </w:rPr>
        <w:t xml:space="preserve">Облік витрат, пов’язаних із поліпшенням основних засобів, здійснюється за  рахунками обліку капітальних інвестицій. Первісна вартість основних засобів збільшується на суму витрат, пов’язаних із поліпшенням (модернізація, модифікація, добудова, дообладнання, реконструкція тощо), у результаті чого збільшуються майбутні економічні вигоди, первісно очікувані від використання цього об’єкта.    </w:t>
      </w:r>
    </w:p>
    <w:p w:rsidR="00A77736" w:rsidRPr="00601BCC" w:rsidRDefault="00A77736" w:rsidP="00C42918">
      <w:pPr>
        <w:jc w:val="both"/>
        <w:rPr>
          <w:bCs/>
          <w:lang w:val="uk-UA"/>
        </w:rPr>
      </w:pPr>
      <w:r w:rsidRPr="00601BCC">
        <w:rPr>
          <w:bCs/>
          <w:lang w:val="uk-UA"/>
        </w:rPr>
        <w:t>Амортизація. Амортизація основних засобів розраховується лінійним методом з метою рівномірного зменшення первісної вартості протягом строку їх корисного використання (експлуатації) за наступними нормами: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657"/>
      </w:tblGrid>
      <w:tr w:rsidR="00A77736" w:rsidRPr="00601BCC" w:rsidTr="00F83824">
        <w:tc>
          <w:tcPr>
            <w:tcW w:w="7196" w:type="dxa"/>
            <w:shd w:val="clear" w:color="auto" w:fill="auto"/>
          </w:tcPr>
          <w:p w:rsidR="00A77736" w:rsidRPr="00601BCC" w:rsidRDefault="00A77736" w:rsidP="00C42918">
            <w:pPr>
              <w:jc w:val="center"/>
              <w:rPr>
                <w:bCs/>
                <w:i/>
                <w:lang w:val="uk-UA"/>
              </w:rPr>
            </w:pPr>
            <w:r w:rsidRPr="00601BCC">
              <w:rPr>
                <w:bCs/>
                <w:i/>
                <w:lang w:val="uk-UA"/>
              </w:rPr>
              <w:lastRenderedPageBreak/>
              <w:t>Вид</w:t>
            </w:r>
          </w:p>
        </w:tc>
        <w:tc>
          <w:tcPr>
            <w:tcW w:w="2657" w:type="dxa"/>
            <w:shd w:val="clear" w:color="auto" w:fill="auto"/>
          </w:tcPr>
          <w:p w:rsidR="00A77736" w:rsidRPr="00601BCC" w:rsidRDefault="00A77736" w:rsidP="00C42918">
            <w:pPr>
              <w:jc w:val="center"/>
              <w:rPr>
                <w:bCs/>
                <w:i/>
                <w:lang w:val="uk-UA"/>
              </w:rPr>
            </w:pPr>
            <w:r w:rsidRPr="00601BCC">
              <w:rPr>
                <w:bCs/>
                <w:i/>
                <w:lang w:val="uk-UA"/>
              </w:rPr>
              <w:t>Строки корисного використання (у роках)</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Персональні комп’ютери, ноутбуки</w:t>
            </w:r>
          </w:p>
        </w:tc>
        <w:tc>
          <w:tcPr>
            <w:tcW w:w="2657" w:type="dxa"/>
            <w:shd w:val="clear" w:color="auto" w:fill="auto"/>
          </w:tcPr>
          <w:p w:rsidR="00A77736" w:rsidRPr="00601BCC" w:rsidRDefault="00A77736" w:rsidP="00C42918">
            <w:pPr>
              <w:jc w:val="center"/>
              <w:rPr>
                <w:bCs/>
                <w:lang w:val="uk-UA"/>
              </w:rPr>
            </w:pPr>
            <w:r w:rsidRPr="00601BCC">
              <w:rPr>
                <w:bCs/>
                <w:lang w:val="uk-UA"/>
              </w:rPr>
              <w:t>3</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Телефони, факси, копіювальні апарати</w:t>
            </w:r>
          </w:p>
        </w:tc>
        <w:tc>
          <w:tcPr>
            <w:tcW w:w="2657" w:type="dxa"/>
            <w:shd w:val="clear" w:color="auto" w:fill="auto"/>
          </w:tcPr>
          <w:p w:rsidR="00A77736" w:rsidRPr="00601BCC" w:rsidRDefault="00A77736" w:rsidP="00C42918">
            <w:pPr>
              <w:jc w:val="center"/>
              <w:rPr>
                <w:bCs/>
                <w:lang w:val="uk-UA"/>
              </w:rPr>
            </w:pPr>
            <w:r w:rsidRPr="00601BCC">
              <w:rPr>
                <w:bCs/>
                <w:lang w:val="uk-UA"/>
              </w:rPr>
              <w:t>3</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Сервери, програмно-технічні комплекси, мережеве обладнання, термінали</w:t>
            </w:r>
          </w:p>
        </w:tc>
        <w:tc>
          <w:tcPr>
            <w:tcW w:w="2657" w:type="dxa"/>
            <w:shd w:val="clear" w:color="auto" w:fill="auto"/>
          </w:tcPr>
          <w:p w:rsidR="00A77736" w:rsidRPr="00601BCC" w:rsidRDefault="00A77736" w:rsidP="00C42918">
            <w:pPr>
              <w:jc w:val="center"/>
              <w:rPr>
                <w:bCs/>
                <w:lang w:val="uk-UA"/>
              </w:rPr>
            </w:pPr>
            <w:r w:rsidRPr="00601BCC">
              <w:rPr>
                <w:bCs/>
                <w:lang w:val="uk-UA"/>
              </w:rPr>
              <w:t>5</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Офісне обладнання, меблі</w:t>
            </w:r>
          </w:p>
        </w:tc>
        <w:tc>
          <w:tcPr>
            <w:tcW w:w="2657" w:type="dxa"/>
            <w:shd w:val="clear" w:color="auto" w:fill="auto"/>
          </w:tcPr>
          <w:p w:rsidR="00A77736" w:rsidRPr="00601BCC" w:rsidRDefault="00A77736" w:rsidP="00C42918">
            <w:pPr>
              <w:jc w:val="center"/>
              <w:rPr>
                <w:bCs/>
                <w:lang w:val="uk-UA"/>
              </w:rPr>
            </w:pPr>
            <w:r w:rsidRPr="00601BCC">
              <w:rPr>
                <w:bCs/>
                <w:lang w:val="uk-UA"/>
              </w:rPr>
              <w:t>5</w:t>
            </w:r>
          </w:p>
        </w:tc>
      </w:tr>
      <w:tr w:rsidR="00A77736" w:rsidRPr="00601BCC" w:rsidTr="00F83824">
        <w:tc>
          <w:tcPr>
            <w:tcW w:w="7196" w:type="dxa"/>
            <w:shd w:val="clear" w:color="auto" w:fill="auto"/>
          </w:tcPr>
          <w:p w:rsidR="00A77736" w:rsidRPr="00601BCC" w:rsidRDefault="00A77736" w:rsidP="00C42918">
            <w:pPr>
              <w:jc w:val="both"/>
              <w:rPr>
                <w:bCs/>
                <w:lang w:val="uk-UA"/>
              </w:rPr>
            </w:pPr>
            <w:r w:rsidRPr="00601BCC">
              <w:rPr>
                <w:bCs/>
                <w:lang w:val="uk-UA"/>
              </w:rPr>
              <w:t>Інші основні засоби</w:t>
            </w:r>
          </w:p>
        </w:tc>
        <w:tc>
          <w:tcPr>
            <w:tcW w:w="2657" w:type="dxa"/>
            <w:shd w:val="clear" w:color="auto" w:fill="auto"/>
          </w:tcPr>
          <w:p w:rsidR="00A77736" w:rsidRPr="00601BCC" w:rsidRDefault="00A77736" w:rsidP="00C42918">
            <w:pPr>
              <w:jc w:val="center"/>
              <w:rPr>
                <w:bCs/>
                <w:lang w:val="uk-UA"/>
              </w:rPr>
            </w:pPr>
            <w:r w:rsidRPr="00601BCC">
              <w:rPr>
                <w:bCs/>
                <w:lang w:val="uk-UA"/>
              </w:rPr>
              <w:t>5</w:t>
            </w:r>
          </w:p>
        </w:tc>
      </w:tr>
    </w:tbl>
    <w:p w:rsidR="00A77736" w:rsidRPr="00601BCC" w:rsidRDefault="00A77736" w:rsidP="00A77736">
      <w:pPr>
        <w:spacing w:before="120" w:after="120"/>
        <w:jc w:val="both"/>
        <w:rPr>
          <w:b/>
          <w:bCs/>
          <w:lang w:val="uk-UA"/>
        </w:rPr>
      </w:pPr>
      <w:r w:rsidRPr="00601BCC">
        <w:rPr>
          <w:b/>
          <w:bCs/>
          <w:lang w:val="uk-UA"/>
        </w:rPr>
        <w:t xml:space="preserve">Нематеріальні активи. </w:t>
      </w:r>
      <w:r w:rsidRPr="00601BCC">
        <w:rPr>
          <w:b/>
          <w:bCs/>
          <w:i/>
          <w:lang w:val="uk-UA"/>
        </w:rPr>
        <w:t>МСБО 38 «Нематеріальні активи».</w:t>
      </w:r>
      <w:r w:rsidRPr="00601BCC">
        <w:rPr>
          <w:b/>
          <w:bCs/>
          <w:lang w:val="uk-UA"/>
        </w:rPr>
        <w:t xml:space="preserve"> </w:t>
      </w:r>
    </w:p>
    <w:p w:rsidR="00A77736" w:rsidRPr="00601BCC" w:rsidRDefault="00A77736" w:rsidP="00A77736">
      <w:pPr>
        <w:spacing w:before="120" w:after="120"/>
        <w:jc w:val="both"/>
        <w:rPr>
          <w:lang w:val="uk-UA"/>
        </w:rPr>
      </w:pPr>
      <w:r w:rsidRPr="00601BCC">
        <w:rPr>
          <w:lang w:val="uk-UA"/>
        </w:rPr>
        <w:t xml:space="preserve">Придбані нематеріальні активи первісно визнаються за собівартістю. Після первісного визнання нематеріальні активи відображаються за собівартістю за вирахуванням накопиченої амортизації або будь-яких накопичених збитків від зменшення корисності. </w:t>
      </w:r>
    </w:p>
    <w:p w:rsidR="00A77736" w:rsidRPr="00601BCC" w:rsidRDefault="00A77736" w:rsidP="00A77736">
      <w:pPr>
        <w:spacing w:before="120" w:after="120"/>
        <w:jc w:val="both"/>
        <w:rPr>
          <w:lang w:val="uk-UA"/>
        </w:rPr>
      </w:pPr>
      <w:r w:rsidRPr="00601BCC">
        <w:rPr>
          <w:lang w:val="uk-UA"/>
        </w:rPr>
        <w:t xml:space="preserve">Нематеріальні активи, створені усередині компанії, за винятком капіталізованих витрат на розробку, не капіталізуються, і відповідні витрати відображаються у прибутках та збитках за період, у якому вони виникли. </w:t>
      </w:r>
    </w:p>
    <w:p w:rsidR="00A77736" w:rsidRPr="00601BCC" w:rsidRDefault="00A77736" w:rsidP="00A77736">
      <w:pPr>
        <w:spacing w:before="120" w:after="120"/>
        <w:jc w:val="both"/>
        <w:rPr>
          <w:lang w:val="uk-UA"/>
        </w:rPr>
      </w:pPr>
      <w:r w:rsidRPr="00601BCC">
        <w:rPr>
          <w:lang w:val="uk-UA"/>
        </w:rPr>
        <w:t xml:space="preserve">Нематеріальні активи з визначеним строком корисного використання амортизуються протягом усього строку їх корисного використання. Строки корисного використання та методи амортизації нематеріальних активів переглядаються принаймні раз на рік і коригуються на перспективній основі, якщо це необхідно. </w:t>
      </w:r>
    </w:p>
    <w:p w:rsidR="00A77736" w:rsidRPr="00601BCC" w:rsidRDefault="00A77736" w:rsidP="00C42918">
      <w:pPr>
        <w:jc w:val="both"/>
        <w:rPr>
          <w:lang w:val="uk-UA"/>
        </w:rPr>
      </w:pPr>
      <w:r w:rsidRPr="00601BCC">
        <w:rPr>
          <w:lang w:val="uk-UA"/>
        </w:rPr>
        <w:t xml:space="preserve">Амортизація нараховується за прямолінійним методом протягом таких очікуваних строків корисного використання відповідних активів: </w:t>
      </w:r>
    </w:p>
    <w:p w:rsidR="00A77736" w:rsidRPr="00601BCC" w:rsidRDefault="00A77736" w:rsidP="00C42918">
      <w:pPr>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A77736" w:rsidRPr="00601BCC" w:rsidTr="00616C7B">
        <w:tc>
          <w:tcPr>
            <w:tcW w:w="4786" w:type="dxa"/>
          </w:tcPr>
          <w:p w:rsidR="00A77736" w:rsidRPr="00601BCC" w:rsidRDefault="00A77736" w:rsidP="00C42918">
            <w:pPr>
              <w:jc w:val="center"/>
              <w:rPr>
                <w:bCs/>
                <w:i/>
                <w:lang w:val="uk-UA"/>
              </w:rPr>
            </w:pPr>
            <w:r w:rsidRPr="00601BCC">
              <w:rPr>
                <w:bCs/>
                <w:i/>
                <w:lang w:val="uk-UA"/>
              </w:rPr>
              <w:t>Вид</w:t>
            </w:r>
          </w:p>
        </w:tc>
        <w:tc>
          <w:tcPr>
            <w:tcW w:w="4785" w:type="dxa"/>
          </w:tcPr>
          <w:p w:rsidR="00A77736" w:rsidRPr="00601BCC" w:rsidRDefault="00A77736" w:rsidP="00C42918">
            <w:pPr>
              <w:jc w:val="center"/>
              <w:rPr>
                <w:bCs/>
                <w:i/>
                <w:lang w:val="uk-UA"/>
              </w:rPr>
            </w:pPr>
            <w:r w:rsidRPr="00601BCC">
              <w:rPr>
                <w:bCs/>
                <w:i/>
                <w:lang w:val="uk-UA"/>
              </w:rPr>
              <w:t>Строки корисного використання (у роках)</w:t>
            </w:r>
          </w:p>
        </w:tc>
      </w:tr>
      <w:tr w:rsidR="00A77736" w:rsidRPr="00601BCC" w:rsidTr="00616C7B">
        <w:tc>
          <w:tcPr>
            <w:tcW w:w="4786" w:type="dxa"/>
          </w:tcPr>
          <w:p w:rsidR="00A77736" w:rsidRPr="00601BCC" w:rsidRDefault="00A77736" w:rsidP="00C42918">
            <w:pPr>
              <w:jc w:val="both"/>
              <w:rPr>
                <w:lang w:val="uk-UA"/>
              </w:rPr>
            </w:pPr>
            <w:r w:rsidRPr="00601BCC">
              <w:rPr>
                <w:lang w:val="uk-UA"/>
              </w:rPr>
              <w:t>Програмне забезпечення</w:t>
            </w:r>
          </w:p>
        </w:tc>
        <w:tc>
          <w:tcPr>
            <w:tcW w:w="4785" w:type="dxa"/>
          </w:tcPr>
          <w:p w:rsidR="00A77736" w:rsidRPr="00601BCC" w:rsidRDefault="00A77736" w:rsidP="00C42918">
            <w:pPr>
              <w:jc w:val="right"/>
              <w:rPr>
                <w:lang w:val="uk-UA"/>
              </w:rPr>
            </w:pPr>
            <w:r w:rsidRPr="00601BCC">
              <w:rPr>
                <w:lang w:val="uk-UA"/>
              </w:rPr>
              <w:t>4</w:t>
            </w:r>
          </w:p>
        </w:tc>
      </w:tr>
    </w:tbl>
    <w:p w:rsidR="00A77736" w:rsidRPr="00601BCC" w:rsidRDefault="00A77736" w:rsidP="00A77736">
      <w:pPr>
        <w:spacing w:before="120" w:after="120"/>
        <w:jc w:val="both"/>
        <w:rPr>
          <w:lang w:val="uk-UA"/>
        </w:rPr>
      </w:pPr>
      <w:r w:rsidRPr="00601BCC">
        <w:rPr>
          <w:lang w:val="uk-UA"/>
        </w:rPr>
        <w:t xml:space="preserve">Доходи або витрати від припинення визнання нематеріального активу оцінюються як різниця між чистою виручкою від вибуття активу та балансовою вартістю активу і визнаються у звіті про сукупний дохід як інші витрати. </w:t>
      </w:r>
    </w:p>
    <w:p w:rsidR="00A77736" w:rsidRPr="00601BCC" w:rsidRDefault="00A77736" w:rsidP="00A77736">
      <w:pPr>
        <w:spacing w:before="120" w:after="120"/>
        <w:jc w:val="both"/>
        <w:rPr>
          <w:b/>
          <w:bCs/>
          <w:lang w:val="uk-UA"/>
        </w:rPr>
      </w:pPr>
      <w:r w:rsidRPr="00601BCC">
        <w:rPr>
          <w:b/>
          <w:bCs/>
          <w:lang w:val="uk-UA"/>
        </w:rPr>
        <w:t xml:space="preserve">Резерви за зобов’язаннями. </w:t>
      </w:r>
      <w:r w:rsidRPr="00601BCC">
        <w:rPr>
          <w:b/>
          <w:bCs/>
          <w:i/>
          <w:lang w:val="uk-UA"/>
        </w:rPr>
        <w:t>МСБО 37 «Резерви, умовні зобов’язання та умовні активи».</w:t>
      </w:r>
    </w:p>
    <w:p w:rsidR="00A77736" w:rsidRPr="00601BCC" w:rsidRDefault="00A77736" w:rsidP="00A77736">
      <w:pPr>
        <w:spacing w:before="120" w:after="120"/>
        <w:jc w:val="both"/>
        <w:rPr>
          <w:bCs/>
          <w:lang w:val="uk-UA"/>
        </w:rPr>
      </w:pPr>
      <w:r w:rsidRPr="00601BCC">
        <w:rPr>
          <w:bCs/>
          <w:lang w:val="uk-UA"/>
        </w:rPr>
        <w:t>Резерви за зобов’язаннями, що визнаються в балансі Товариства, є забезпеченнями їх виконання в майбутньому, та свідчать про можливі втрати внаслідок вибуття ресурсів, пов’язаного з виконанням Товариством таких зобов’язань.</w:t>
      </w:r>
    </w:p>
    <w:p w:rsidR="00A77736" w:rsidRPr="00601BCC" w:rsidRDefault="00A77736" w:rsidP="00616C7B">
      <w:pPr>
        <w:jc w:val="both"/>
        <w:rPr>
          <w:bCs/>
          <w:lang w:val="uk-UA"/>
        </w:rPr>
      </w:pPr>
      <w:r w:rsidRPr="00601BCC">
        <w:rPr>
          <w:bCs/>
          <w:lang w:val="uk-UA"/>
        </w:rPr>
        <w:t>Товариство визнає забезпечення (резерв), якщо одночасно виконуються такі умови:</w:t>
      </w:r>
    </w:p>
    <w:p w:rsidR="00A77736" w:rsidRPr="00601BCC" w:rsidRDefault="00A77736" w:rsidP="00616C7B">
      <w:pPr>
        <w:widowControl/>
        <w:numPr>
          <w:ilvl w:val="0"/>
          <w:numId w:val="30"/>
        </w:numPr>
        <w:suppressAutoHyphens w:val="0"/>
        <w:jc w:val="both"/>
        <w:rPr>
          <w:bCs/>
          <w:lang w:val="uk-UA"/>
        </w:rPr>
      </w:pPr>
      <w:r w:rsidRPr="00601BCC">
        <w:rPr>
          <w:bCs/>
          <w:lang w:val="uk-UA"/>
        </w:rPr>
        <w:t>Товариство має зобов’язання (юридичне чи конструктивне)внаслідок минулої події;</w:t>
      </w:r>
    </w:p>
    <w:p w:rsidR="00A77736" w:rsidRPr="00601BCC" w:rsidRDefault="00A77736" w:rsidP="00616C7B">
      <w:pPr>
        <w:widowControl/>
        <w:numPr>
          <w:ilvl w:val="0"/>
          <w:numId w:val="30"/>
        </w:numPr>
        <w:suppressAutoHyphens w:val="0"/>
        <w:jc w:val="both"/>
        <w:rPr>
          <w:bCs/>
          <w:lang w:val="uk-UA"/>
        </w:rPr>
      </w:pPr>
      <w:r w:rsidRPr="00601BCC">
        <w:rPr>
          <w:bCs/>
          <w:lang w:val="uk-UA"/>
        </w:rPr>
        <w:t>Імовірно, що вибуття ресурсів, що містять економічні вигоди, буде необхідним для виконання зобов’язання;</w:t>
      </w:r>
    </w:p>
    <w:p w:rsidR="00A77736" w:rsidRPr="00601BCC" w:rsidRDefault="00A77736" w:rsidP="00616C7B">
      <w:pPr>
        <w:widowControl/>
        <w:numPr>
          <w:ilvl w:val="0"/>
          <w:numId w:val="30"/>
        </w:numPr>
        <w:suppressAutoHyphens w:val="0"/>
        <w:jc w:val="both"/>
        <w:rPr>
          <w:bCs/>
          <w:lang w:val="uk-UA"/>
        </w:rPr>
      </w:pPr>
      <w:r w:rsidRPr="00601BCC">
        <w:rPr>
          <w:bCs/>
          <w:lang w:val="uk-UA"/>
        </w:rPr>
        <w:t xml:space="preserve">Можна достовірно оцінити суму зобов’язання. </w:t>
      </w:r>
    </w:p>
    <w:p w:rsidR="00A77736" w:rsidRPr="00601BCC" w:rsidRDefault="00A77736" w:rsidP="00A77736">
      <w:pPr>
        <w:spacing w:before="120" w:after="120"/>
        <w:jc w:val="both"/>
        <w:rPr>
          <w:bCs/>
          <w:lang w:val="uk-UA"/>
        </w:rPr>
      </w:pPr>
      <w:r w:rsidRPr="00601BCC">
        <w:rPr>
          <w:bCs/>
          <w:lang w:val="uk-UA"/>
        </w:rPr>
        <w:t>Товариство не визнає забезпечення для майбутніх операційних збитків.</w:t>
      </w:r>
    </w:p>
    <w:p w:rsidR="00A77736" w:rsidRPr="00601BCC" w:rsidRDefault="00A77736" w:rsidP="00A77736">
      <w:pPr>
        <w:spacing w:before="120" w:after="120"/>
        <w:jc w:val="both"/>
        <w:rPr>
          <w:bCs/>
          <w:lang w:val="uk-UA"/>
        </w:rPr>
      </w:pPr>
      <w:r w:rsidRPr="00601BCC">
        <w:rPr>
          <w:bCs/>
          <w:lang w:val="uk-UA"/>
        </w:rPr>
        <w:t>Умовні зобов’язання не відображаються у звіті про фінансовий стан. Розкриття інформації щодо таких зобов’язань надається, за винятком випадків, коли відтік ресурсів для виконання таких зобов’язань є малоймовірним. Умовні активи не визнаються у звіті про фінансовий стан. Розкриття інформації щодо таких активів надається, коли надходження пов’язаних із ними економічних вигод є ймовірним.</w:t>
      </w:r>
    </w:p>
    <w:p w:rsidR="00A77736" w:rsidRPr="00601BCC" w:rsidRDefault="00A77736" w:rsidP="00A77736">
      <w:pPr>
        <w:spacing w:before="120" w:after="120"/>
        <w:jc w:val="both"/>
        <w:rPr>
          <w:b/>
          <w:bCs/>
          <w:i/>
          <w:lang w:val="uk-UA"/>
        </w:rPr>
      </w:pPr>
      <w:r w:rsidRPr="00601BCC">
        <w:rPr>
          <w:b/>
          <w:bCs/>
          <w:lang w:val="uk-UA"/>
        </w:rPr>
        <w:t xml:space="preserve">Податок на прибуток. </w:t>
      </w:r>
      <w:r w:rsidRPr="00601BCC">
        <w:rPr>
          <w:b/>
          <w:bCs/>
          <w:i/>
          <w:lang w:val="uk-UA"/>
        </w:rPr>
        <w:t>МСБО 12 «Податки на прибуток»</w:t>
      </w:r>
    </w:p>
    <w:p w:rsidR="00A77736" w:rsidRPr="00601BCC" w:rsidRDefault="00A77736" w:rsidP="00A77736">
      <w:pPr>
        <w:spacing w:before="120" w:after="120"/>
        <w:jc w:val="both"/>
        <w:rPr>
          <w:bCs/>
          <w:lang w:val="uk-UA"/>
        </w:rPr>
      </w:pPr>
      <w:r w:rsidRPr="00601BCC">
        <w:rPr>
          <w:bCs/>
          <w:lang w:val="uk-UA"/>
        </w:rPr>
        <w:t xml:space="preserve"> Податок на прибуток відображається відповідно до вимог законодавства, які діяли або фактично були введені в дію станом на звітну дату. Витрати з податку на прибуток включають поточний податок і відображаються у звіті про прибутки та збитки, крім випадків, коли вони відображаються безпосередньо у складі іншого сукупного доходу.</w:t>
      </w:r>
    </w:p>
    <w:p w:rsidR="00A77736" w:rsidRPr="00601BCC" w:rsidRDefault="00A77736" w:rsidP="00A77736">
      <w:pPr>
        <w:spacing w:before="120" w:after="120"/>
        <w:jc w:val="both"/>
        <w:rPr>
          <w:bCs/>
          <w:lang w:val="uk-UA"/>
        </w:rPr>
      </w:pPr>
      <w:r w:rsidRPr="00601BCC">
        <w:rPr>
          <w:bCs/>
          <w:lang w:val="uk-UA"/>
        </w:rPr>
        <w:lastRenderedPageBreak/>
        <w:t>Поточні витрати з податку на прибуток являють собою суму, що, як очікується, має бути сплачена податковим органам або відшкодована ними стосовно оподаткованого прибутку чи збитку за поточний та попередні періоди. Інші податки, за винятком податку на прибуток, відображаються у складі адміністративних та інших витрат.</w:t>
      </w:r>
    </w:p>
    <w:p w:rsidR="00A77736" w:rsidRPr="00601BCC" w:rsidRDefault="00A77736" w:rsidP="00A77736">
      <w:pPr>
        <w:spacing w:before="120" w:after="120"/>
        <w:jc w:val="both"/>
        <w:rPr>
          <w:b/>
          <w:bCs/>
          <w:i/>
          <w:lang w:val="uk-UA"/>
        </w:rPr>
      </w:pPr>
      <w:r w:rsidRPr="00601BCC">
        <w:rPr>
          <w:b/>
          <w:bCs/>
          <w:lang w:val="uk-UA"/>
        </w:rPr>
        <w:t xml:space="preserve">Визнання доходів і витрат. </w:t>
      </w:r>
      <w:r w:rsidRPr="00601BCC">
        <w:rPr>
          <w:b/>
          <w:bCs/>
          <w:i/>
          <w:lang w:val="uk-UA"/>
        </w:rPr>
        <w:t>МСБО 18 «Дохід», МСФЗ 9 «Фінансові інструменти».</w:t>
      </w:r>
    </w:p>
    <w:p w:rsidR="00A77736" w:rsidRPr="00601BCC" w:rsidRDefault="00A77736" w:rsidP="00A77736">
      <w:pPr>
        <w:spacing w:before="120" w:after="120"/>
        <w:jc w:val="both"/>
        <w:rPr>
          <w:lang w:val="uk-UA"/>
        </w:rPr>
      </w:pPr>
      <w:r w:rsidRPr="00601BCC">
        <w:rPr>
          <w:lang w:val="uk-UA"/>
        </w:rPr>
        <w:t>Доходи визнаються, якщо існує висока вірогідність того, що Товариство отримає економічні вигоди, а доходи можуть бути вірогідно визначені. Доходи оцінюються за справедливою вартістю винагороди, отриманої або такої, що підлягає отриманню, за вирахуванням знижок, бонусів і податків з продажу. Ці податки вважаються отриманими від імені державних органів. Доходи, головним чином, являють собою доходи від надання позик під відсотки.</w:t>
      </w:r>
    </w:p>
    <w:p w:rsidR="00A77736" w:rsidRPr="00601BCC" w:rsidRDefault="00A77736" w:rsidP="00A77736">
      <w:pPr>
        <w:spacing w:before="120" w:after="120"/>
        <w:jc w:val="both"/>
        <w:rPr>
          <w:lang w:val="uk-UA"/>
        </w:rPr>
      </w:pPr>
      <w:r w:rsidRPr="00601BCC">
        <w:rPr>
          <w:lang w:val="uk-UA"/>
        </w:rPr>
        <w:t xml:space="preserve">Витрати на позики, безпосередньо пов’язані з придбанням, будівництвом або виробництвом активу, який в силу необхідності вимагає тривалого періоду часу для його підготовки до планового використання або до продажу, капіталізуються як частина первісної вартості такого активу. Усі інші витрати на позики відносяться на витрати в тому звітному періоді, в якому вони були понесені. Витрати на позики складаються з відсотків та інших витрат, понесених у зв’язку з залученням позикових коштів. </w:t>
      </w:r>
    </w:p>
    <w:p w:rsidR="00A77736" w:rsidRPr="00601BCC" w:rsidRDefault="00A77736" w:rsidP="00A77736">
      <w:pPr>
        <w:spacing w:before="120" w:after="120"/>
        <w:jc w:val="both"/>
        <w:rPr>
          <w:bCs/>
          <w:lang w:val="uk-UA"/>
        </w:rPr>
      </w:pPr>
      <w:r w:rsidRPr="00601BCC">
        <w:rPr>
          <w:bCs/>
          <w:lang w:val="uk-UA"/>
        </w:rPr>
        <w:t xml:space="preserve">Прибутки або збитки від фінансових активів і фінансових зобов’язань, які обліковуються за амортизованою собівартістю, визнаються у Звіті про прибутки і збитки. </w:t>
      </w:r>
    </w:p>
    <w:p w:rsidR="00A77736" w:rsidRPr="00601BCC" w:rsidRDefault="00A77736" w:rsidP="00A77736">
      <w:pPr>
        <w:spacing w:before="120" w:after="120"/>
        <w:jc w:val="both"/>
        <w:rPr>
          <w:b/>
          <w:bCs/>
          <w:i/>
          <w:lang w:val="uk-UA"/>
        </w:rPr>
      </w:pPr>
      <w:r w:rsidRPr="00601BCC">
        <w:rPr>
          <w:b/>
          <w:bCs/>
          <w:lang w:val="uk-UA"/>
        </w:rPr>
        <w:t xml:space="preserve">Винагороди працівникам. </w:t>
      </w:r>
      <w:r w:rsidRPr="00601BCC">
        <w:rPr>
          <w:b/>
          <w:bCs/>
          <w:i/>
          <w:lang w:val="uk-UA"/>
        </w:rPr>
        <w:t>МСБО 19 «Виплати працівникам».</w:t>
      </w:r>
    </w:p>
    <w:p w:rsidR="00A77736" w:rsidRPr="00601BCC" w:rsidRDefault="00A77736" w:rsidP="00A77736">
      <w:pPr>
        <w:pStyle w:val="Default"/>
        <w:spacing w:before="120"/>
        <w:rPr>
          <w:rFonts w:ascii="Times New Roman" w:hAnsi="Times New Roman" w:cs="Times New Roman"/>
          <w:bCs/>
          <w:color w:val="auto"/>
        </w:rPr>
      </w:pPr>
      <w:r w:rsidRPr="00601BCC">
        <w:rPr>
          <w:rFonts w:ascii="Times New Roman" w:hAnsi="Times New Roman" w:cs="Times New Roman"/>
          <w:bCs/>
          <w:color w:val="auto"/>
        </w:rPr>
        <w:t>Всі винагороди працівникам Товариство враховуються як поточні, відповідно до МСБО 19 «Виплати працівникам».</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Виплати працівникам включають:</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а) короткострокові виплати працівникам, такі як заробітна плата, оплачені щорічні відпустки та тимчасова непрацездатність;</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б) виплати при звільненні.</w:t>
      </w:r>
    </w:p>
    <w:p w:rsidR="00A77736" w:rsidRPr="00601BCC" w:rsidRDefault="00A77736" w:rsidP="00FF5053">
      <w:pPr>
        <w:pStyle w:val="Default"/>
        <w:rPr>
          <w:rFonts w:ascii="Times New Roman" w:hAnsi="Times New Roman" w:cs="Times New Roman"/>
          <w:bCs/>
          <w:color w:val="auto"/>
        </w:rPr>
      </w:pPr>
      <w:r w:rsidRPr="00601BCC">
        <w:rPr>
          <w:rFonts w:ascii="Times New Roman" w:hAnsi="Times New Roman" w:cs="Times New Roman"/>
          <w:bCs/>
          <w:color w:val="auto"/>
        </w:rPr>
        <w:t>У процесі господарської діяльності Товариство сплачує обов'язкові внески до Державного Пенсійного фонду за своїх працівників, в розмірі передбаченому Законодавством України.</w:t>
      </w:r>
    </w:p>
    <w:p w:rsidR="00A77736" w:rsidRPr="00601BCC" w:rsidRDefault="00A77736" w:rsidP="00A77736">
      <w:pPr>
        <w:spacing w:before="120" w:after="120"/>
        <w:rPr>
          <w:b/>
          <w:smallCaps/>
          <w:lang w:val="uk-UA"/>
        </w:rPr>
      </w:pPr>
      <w:r w:rsidRPr="00601BCC">
        <w:rPr>
          <w:b/>
          <w:smallCaps/>
          <w:lang w:val="uk-UA"/>
        </w:rPr>
        <w:t>5. Нові та переглянуті стандарти та тлумачення</w:t>
      </w:r>
    </w:p>
    <w:p w:rsidR="005E41F3" w:rsidRDefault="005E41F3" w:rsidP="005E41F3">
      <w:pPr>
        <w:ind w:firstLine="567"/>
        <w:jc w:val="both"/>
        <w:rPr>
          <w:lang w:val="uk-UA"/>
        </w:rPr>
      </w:pPr>
      <w:r w:rsidRPr="000C04EF">
        <w:rPr>
          <w:lang w:val="uk-UA"/>
        </w:rPr>
        <w:t>Нижче в таблиці наведено зміни до МСФЗ, дата набуття чинності таких змін, застосування таких змін та вплив таких змін н</w:t>
      </w:r>
      <w:r>
        <w:rPr>
          <w:lang w:val="uk-UA"/>
        </w:rPr>
        <w:t>а фінансову звітність Товариства</w:t>
      </w:r>
      <w:r w:rsidRPr="000C04EF">
        <w:rPr>
          <w:lang w:val="uk-UA"/>
        </w:rPr>
        <w:t>.</w:t>
      </w:r>
    </w:p>
    <w:tbl>
      <w:tblPr>
        <w:tblW w:w="0" w:type="auto"/>
        <w:tblCellMar>
          <w:left w:w="0" w:type="dxa"/>
          <w:right w:w="0" w:type="dxa"/>
        </w:tblCellMar>
        <w:tblLook w:val="04A0" w:firstRow="1" w:lastRow="0" w:firstColumn="1" w:lastColumn="0" w:noHBand="0" w:noVBand="1"/>
      </w:tblPr>
      <w:tblGrid>
        <w:gridCol w:w="6062"/>
        <w:gridCol w:w="1807"/>
        <w:gridCol w:w="1886"/>
      </w:tblGrid>
      <w:tr w:rsidR="005E41F3" w:rsidRPr="00646475" w:rsidTr="005E41F3">
        <w:trPr>
          <w:trHeight w:val="1470"/>
        </w:trPr>
        <w:tc>
          <w:tcPr>
            <w:tcW w:w="6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center"/>
              <w:rPr>
                <w:sz w:val="20"/>
                <w:szCs w:val="20"/>
                <w:lang w:val="uk-UA"/>
              </w:rPr>
            </w:pPr>
          </w:p>
          <w:p w:rsidR="005E41F3" w:rsidRPr="00646475" w:rsidRDefault="005E41F3" w:rsidP="005E41F3">
            <w:pPr>
              <w:jc w:val="center"/>
              <w:rPr>
                <w:sz w:val="20"/>
                <w:szCs w:val="20"/>
                <w:lang w:val="uk-UA"/>
              </w:rPr>
            </w:pPr>
          </w:p>
          <w:p w:rsidR="005E41F3" w:rsidRPr="00646475" w:rsidRDefault="005E41F3" w:rsidP="005E41F3">
            <w:pPr>
              <w:jc w:val="center"/>
              <w:rPr>
                <w:sz w:val="20"/>
                <w:szCs w:val="20"/>
                <w:lang w:val="uk-UA"/>
              </w:rPr>
            </w:pPr>
            <w:r w:rsidRPr="00646475">
              <w:rPr>
                <w:sz w:val="20"/>
                <w:szCs w:val="20"/>
                <w:lang w:val="uk-UA"/>
              </w:rPr>
              <w:t>Стандарти/тлумачення</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center"/>
              <w:rPr>
                <w:sz w:val="20"/>
                <w:szCs w:val="20"/>
                <w:lang w:val="uk-UA"/>
              </w:rPr>
            </w:pPr>
            <w:r w:rsidRPr="00646475">
              <w:rPr>
                <w:sz w:val="20"/>
                <w:szCs w:val="20"/>
                <w:lang w:val="uk-UA"/>
              </w:rPr>
              <w:t>Набувають чинності для річних облікових періодів, які починаються на або після</w:t>
            </w:r>
          </w:p>
        </w:tc>
        <w:tc>
          <w:tcPr>
            <w:tcW w:w="1886" w:type="dxa"/>
            <w:tcBorders>
              <w:top w:val="single" w:sz="8" w:space="0" w:color="auto"/>
              <w:left w:val="nil"/>
              <w:bottom w:val="single" w:sz="8" w:space="0" w:color="auto"/>
              <w:right w:val="single" w:sz="8" w:space="0" w:color="auto"/>
            </w:tcBorders>
          </w:tcPr>
          <w:p w:rsidR="005E41F3" w:rsidRPr="00646475" w:rsidRDefault="005E41F3" w:rsidP="005E41F3">
            <w:pPr>
              <w:jc w:val="center"/>
              <w:rPr>
                <w:sz w:val="20"/>
                <w:szCs w:val="20"/>
                <w:lang w:val="uk-UA"/>
              </w:rPr>
            </w:pPr>
            <w:r w:rsidRPr="00646475">
              <w:rPr>
                <w:sz w:val="20"/>
                <w:szCs w:val="20"/>
                <w:lang w:val="uk-UA"/>
              </w:rPr>
              <w:t>Вплив на фінансову звітність Товариства</w:t>
            </w:r>
          </w:p>
        </w:tc>
      </w:tr>
      <w:tr w:rsidR="005E41F3" w:rsidRPr="00646475" w:rsidTr="005E41F3">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концептуальних основ фінансової звітності «Поправки до посилань концептуальних основ стандартів МСФЗ»</w:t>
            </w:r>
          </w:p>
          <w:p w:rsidR="005E41F3" w:rsidRPr="00646475" w:rsidRDefault="005E41F3" w:rsidP="005E41F3">
            <w:pPr>
              <w:rPr>
                <w:sz w:val="20"/>
                <w:szCs w:val="20"/>
                <w:lang w:val="uk-UA"/>
              </w:rPr>
            </w:pPr>
            <w:r w:rsidRPr="00646475">
              <w:rPr>
                <w:sz w:val="20"/>
                <w:szCs w:val="20"/>
                <w:lang w:val="uk-UA"/>
              </w:rPr>
              <w:t xml:space="preserve">У новій редакції оновлено структуру документа, визначення активів і зобов'язань, а також додано нові положення з оцінки та припинення визнання активів і зобов'язань, подання і розкриття даних у фінансовій звітності за МСФЗ. Згідно нової редакції інформація, представлена у фінансовій звітності, також повинна допомагати користувачам оцінити ефективність керівництва компанії в управлінні економічними ресурсами. Принцип обачності трактується через підтримку нейтральність представлених даних. Обачність визначається як прояв обережності при винесенні суджень в умовах невизначеності. Правдиве уявлення даних трактується як подання суті операцій, а не тільки їх юридичної форми. Нова редакція КОФЗ передбачає дві форми звітності: звіт про фінансовий стан і звіт про фінансові результати. Інші форми об'єднані під назвою «інші форми і розкриття», визначається, що дані фінансової звітності представляються за певний період і </w:t>
            </w:r>
            <w:r w:rsidRPr="00646475">
              <w:rPr>
                <w:sz w:val="20"/>
                <w:szCs w:val="20"/>
                <w:lang w:val="uk-UA"/>
              </w:rPr>
              <w:lastRenderedPageBreak/>
              <w:t xml:space="preserve">містять порівняльну інформацію, а також за певних обставин - прогнозні дані. </w:t>
            </w:r>
          </w:p>
          <w:p w:rsidR="005E41F3" w:rsidRPr="00646475" w:rsidRDefault="005E41F3" w:rsidP="005E41F3">
            <w:pPr>
              <w:rPr>
                <w:sz w:val="20"/>
                <w:szCs w:val="20"/>
                <w:lang w:val="uk-UA"/>
              </w:rPr>
            </w:pPr>
            <w:r w:rsidRPr="00646475">
              <w:rPr>
                <w:sz w:val="20"/>
                <w:szCs w:val="20"/>
                <w:lang w:val="uk-UA"/>
              </w:rPr>
              <w:t xml:space="preserve">У новій редакції КОФЗ вводиться поняття «звітуюче підприємство», під яким мається на увазі сторона економічної діяльності, яка має чітко визначені межі та поняття зведеної звітності. </w:t>
            </w:r>
          </w:p>
          <w:p w:rsidR="005E41F3" w:rsidRPr="00646475" w:rsidRDefault="005E41F3" w:rsidP="005E41F3">
            <w:pPr>
              <w:rPr>
                <w:sz w:val="20"/>
                <w:szCs w:val="20"/>
                <w:lang w:val="uk-UA"/>
              </w:rPr>
            </w:pPr>
            <w:r w:rsidRPr="00646475">
              <w:rPr>
                <w:sz w:val="20"/>
                <w:szCs w:val="20"/>
                <w:lang w:val="uk-UA"/>
              </w:rPr>
              <w:t xml:space="preserve">Вираз «економічний ресурс» замість терміну «ресурс» підкреслює, що Рада МСФЗ більше не розглядає активи лише як фізичні об'єкти, а, скоріше, як набір прав. Визначення активів і зобов'язань не відносяться до «очікуваних» надходжень або відтоків. Замість цього визначення економічного ресурсу відноситься до потенціалу активу / зобов'язання виробляти / передавати економічні вигоди. </w:t>
            </w:r>
          </w:p>
          <w:p w:rsidR="005E41F3" w:rsidRPr="00646475" w:rsidRDefault="005E41F3" w:rsidP="005E41F3">
            <w:pPr>
              <w:rPr>
                <w:sz w:val="20"/>
                <w:szCs w:val="20"/>
                <w:lang w:val="uk-UA"/>
              </w:rPr>
            </w:pPr>
            <w:r w:rsidRPr="00646475">
              <w:rPr>
                <w:sz w:val="20"/>
                <w:szCs w:val="20"/>
                <w:lang w:val="uk-UA"/>
              </w:rPr>
              <w:t>Нова глава КОФЗ присвячена опису різних методів оцінки (історична і поточна вартість (справедлива вартість, вартість використання)), інформації, яку вони надають.</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lang w:val="uk-UA"/>
              </w:rPr>
            </w:pPr>
            <w:r w:rsidRPr="00646475">
              <w:rPr>
                <w:sz w:val="20"/>
                <w:szCs w:val="20"/>
                <w:lang w:val="uk-UA"/>
              </w:rPr>
              <w:lastRenderedPageBreak/>
              <w:t>1 січня 2020 року</w:t>
            </w:r>
          </w:p>
        </w:tc>
        <w:tc>
          <w:tcPr>
            <w:tcW w:w="1886" w:type="dxa"/>
            <w:tcBorders>
              <w:top w:val="nil"/>
              <w:left w:val="nil"/>
              <w:bottom w:val="single" w:sz="8" w:space="0" w:color="auto"/>
              <w:right w:val="single" w:sz="8" w:space="0" w:color="auto"/>
            </w:tcBorders>
          </w:tcPr>
          <w:p w:rsidR="005E41F3" w:rsidRPr="00646475" w:rsidRDefault="005E41F3" w:rsidP="005E41F3">
            <w:pPr>
              <w:rPr>
                <w:sz w:val="20"/>
                <w:szCs w:val="20"/>
                <w:lang w:val="uk-UA" w:eastAsia="en-US"/>
              </w:rPr>
            </w:pPr>
            <w:r w:rsidRPr="00646475">
              <w:rPr>
                <w:sz w:val="20"/>
                <w:szCs w:val="20"/>
                <w:lang w:val="uk-UA" w:eastAsia="en-US"/>
              </w:rPr>
              <w:t xml:space="preserve">Перегляд даного документа не вплинув на фінансову звітність Товариства. </w:t>
            </w:r>
          </w:p>
          <w:p w:rsidR="005E41F3" w:rsidRPr="00646475" w:rsidRDefault="005E41F3" w:rsidP="005E41F3">
            <w:pPr>
              <w:jc w:val="right"/>
              <w:rPr>
                <w:sz w:val="20"/>
                <w:szCs w:val="20"/>
                <w:lang w:val="uk-UA"/>
              </w:rPr>
            </w:pPr>
          </w:p>
        </w:tc>
      </w:tr>
      <w:tr w:rsidR="005E41F3" w:rsidRPr="00646475" w:rsidTr="005E41F3">
        <w:trPr>
          <w:trHeight w:val="3134"/>
        </w:trPr>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lastRenderedPageBreak/>
              <w:t xml:space="preserve">Поправки до МСБО 1 «Подання фінансової звітності» та МСБО 8 «Облікова політика, зміни в облікових оцінках та помилки» «Визначення суттєвості» . Зміни уточнюють визначення суттєвості, пояснення до цього визначення та застосування цього поняття завдяки включенню рекомендацій щодо визначення, які раніше були наведені в інших стандартах МСФЗ. </w:t>
            </w:r>
          </w:p>
          <w:p w:rsidR="005E41F3" w:rsidRPr="00646475" w:rsidRDefault="005E41F3" w:rsidP="005E41F3">
            <w:pPr>
              <w:rPr>
                <w:sz w:val="20"/>
                <w:szCs w:val="20"/>
                <w:lang w:val="uk-UA"/>
              </w:rPr>
            </w:pPr>
            <w:r w:rsidRPr="00646475">
              <w:rPr>
                <w:sz w:val="20"/>
                <w:szCs w:val="20"/>
                <w:lang w:val="uk-UA"/>
              </w:rPr>
              <w:t>Інформація є суттєвою, якщо обґрунтовано очікується, що її пропуск, спотворення або затуманення може вплинути на рішення основних користувачів фінансової звітності загального призначення, винесені на підставі такої фінансової звітності, що представляє фінансову інформацію про звітуючу компанію</w:t>
            </w:r>
          </w:p>
          <w:p w:rsidR="005E41F3" w:rsidRPr="00646475" w:rsidRDefault="005E41F3" w:rsidP="005E41F3">
            <w:pPr>
              <w:rPr>
                <w:sz w:val="20"/>
                <w:szCs w:val="20"/>
                <w:lang w:val="uk-UA"/>
              </w:rPr>
            </w:pPr>
            <w:r w:rsidRPr="00646475">
              <w:rPr>
                <w:sz w:val="20"/>
                <w:szCs w:val="20"/>
                <w:lang w:val="uk-UA"/>
              </w:rPr>
              <w:t>Зміни забезпечують послідовність використання визначення суттєвості в усіх стандартах МСФЗ.</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lang w:val="uk-UA"/>
              </w:rPr>
            </w:pPr>
            <w:r w:rsidRPr="00646475">
              <w:rPr>
                <w:sz w:val="20"/>
                <w:szCs w:val="20"/>
                <w:lang w:val="uk-UA"/>
              </w:rPr>
              <w:t>1 січня 2020 року</w:t>
            </w:r>
          </w:p>
        </w:tc>
        <w:tc>
          <w:tcPr>
            <w:tcW w:w="1886" w:type="dxa"/>
            <w:tcBorders>
              <w:top w:val="nil"/>
              <w:left w:val="nil"/>
              <w:bottom w:val="single" w:sz="8" w:space="0" w:color="auto"/>
              <w:right w:val="single" w:sz="8" w:space="0" w:color="auto"/>
            </w:tcBorders>
          </w:tcPr>
          <w:p w:rsidR="005E41F3" w:rsidRPr="00646475" w:rsidRDefault="005E41F3" w:rsidP="005E41F3">
            <w:pPr>
              <w:rPr>
                <w:sz w:val="20"/>
                <w:szCs w:val="20"/>
                <w:lang w:val="uk-UA" w:eastAsia="en-US"/>
              </w:rPr>
            </w:pPr>
            <w:r w:rsidRPr="00646475">
              <w:rPr>
                <w:sz w:val="20"/>
                <w:szCs w:val="20"/>
                <w:lang w:val="uk-UA" w:eastAsia="en-US"/>
              </w:rPr>
              <w:t>Дані поправки не вплинули на фінансову звітність Товариства, і очікується, що в майбутньому вплив також буде відсутній.</w:t>
            </w:r>
          </w:p>
          <w:p w:rsidR="005E41F3" w:rsidRPr="00646475" w:rsidRDefault="005E41F3" w:rsidP="005E41F3">
            <w:pPr>
              <w:jc w:val="right"/>
              <w:rPr>
                <w:sz w:val="20"/>
                <w:szCs w:val="20"/>
                <w:lang w:val="uk-UA"/>
              </w:rPr>
            </w:pPr>
          </w:p>
        </w:tc>
      </w:tr>
      <w:tr w:rsidR="005E41F3" w:rsidRPr="00646475" w:rsidTr="005E41F3">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МСФЗ 3 «Об’єднання бізнесу»</w:t>
            </w:r>
          </w:p>
          <w:p w:rsidR="005E41F3" w:rsidRPr="00646475" w:rsidRDefault="005E41F3" w:rsidP="005E41F3">
            <w:pPr>
              <w:rPr>
                <w:sz w:val="20"/>
                <w:szCs w:val="20"/>
                <w:lang w:val="uk-UA"/>
              </w:rPr>
            </w:pPr>
            <w:r w:rsidRPr="00646475">
              <w:rPr>
                <w:sz w:val="20"/>
                <w:szCs w:val="20"/>
                <w:lang w:val="uk-UA"/>
              </w:rPr>
              <w:t xml:space="preserve">Зміни запроваджують переглянуте визначення бізнесу. Бізнес складається із внесків і суттєвих процесів, які у сукупності формують здатність створювати віддачу. </w:t>
            </w:r>
          </w:p>
          <w:p w:rsidR="005E41F3" w:rsidRPr="00646475" w:rsidRDefault="005E41F3" w:rsidP="005E41F3">
            <w:pPr>
              <w:rPr>
                <w:sz w:val="20"/>
                <w:szCs w:val="20"/>
                <w:lang w:val="uk-UA"/>
              </w:rPr>
            </w:pPr>
            <w:r w:rsidRPr="00646475">
              <w:rPr>
                <w:sz w:val="20"/>
                <w:szCs w:val="20"/>
                <w:lang w:val="uk-UA"/>
              </w:rPr>
              <w:t xml:space="preserve">Нове керівництво визначає систему, яка дозволяє визначити наявність внеску і суттєвого процесу, у тому числі для компаній, які знаходяться на ранніх етапах розвитку і ще не отримали віддачу. У разі відсутності віддачі, для того щоб підприємство вважалося бізнесом, має бути наявним організований трудовий колектив. </w:t>
            </w:r>
          </w:p>
          <w:p w:rsidR="005E41F3" w:rsidRPr="00646475" w:rsidRDefault="005E41F3" w:rsidP="005E41F3">
            <w:pPr>
              <w:rPr>
                <w:sz w:val="20"/>
                <w:szCs w:val="20"/>
                <w:lang w:val="uk-UA"/>
              </w:rPr>
            </w:pPr>
            <w:r w:rsidRPr="00646475">
              <w:rPr>
                <w:sz w:val="20"/>
                <w:szCs w:val="20"/>
                <w:lang w:val="uk-UA"/>
              </w:rPr>
              <w:t xml:space="preserve">Визначення терміну «віддача» звужується, щоб зосередити увагу на товарах і послугах, які надаються клієнтам, на формуванні інвестиційного доходу та інших доходів, при цьому виключаються результати у формі скорочення витрат та інших економічних вигод. Крім того, наразі більше не потрібно оцінювати спроможність учасників ринку замінювати відсутні елементи чи інтегрувати придбану діяльність і активи. </w:t>
            </w:r>
          </w:p>
          <w:p w:rsidR="005E41F3" w:rsidRPr="00646475" w:rsidRDefault="005E41F3" w:rsidP="005E41F3">
            <w:pPr>
              <w:rPr>
                <w:sz w:val="20"/>
                <w:szCs w:val="20"/>
                <w:lang w:val="uk-UA"/>
              </w:rPr>
            </w:pPr>
            <w:r w:rsidRPr="00646475">
              <w:rPr>
                <w:sz w:val="20"/>
                <w:szCs w:val="20"/>
                <w:lang w:val="uk-UA"/>
              </w:rPr>
              <w:t>Організація може застосувати «тест на концентрацію». Придбані активи не вважатимуться бізнесом, якщо практично вся справедлива вартість придбаних валових активів сконцентрована в одному активі (або групі аналогічних активів).</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lang w:val="uk-UA"/>
              </w:rPr>
            </w:pPr>
            <w:r w:rsidRPr="00646475">
              <w:rPr>
                <w:sz w:val="20"/>
                <w:szCs w:val="20"/>
                <w:lang w:val="uk-UA"/>
              </w:rPr>
              <w:t>1 січня 2020 року</w:t>
            </w:r>
          </w:p>
        </w:tc>
        <w:tc>
          <w:tcPr>
            <w:tcW w:w="1886" w:type="dxa"/>
            <w:tcBorders>
              <w:top w:val="nil"/>
              <w:left w:val="nil"/>
              <w:bottom w:val="single" w:sz="8" w:space="0" w:color="auto"/>
              <w:right w:val="single" w:sz="8" w:space="0" w:color="auto"/>
            </w:tcBorders>
          </w:tcPr>
          <w:p w:rsidR="005E41F3" w:rsidRPr="00646475" w:rsidRDefault="005E41F3" w:rsidP="005E41F3">
            <w:pPr>
              <w:rPr>
                <w:sz w:val="20"/>
                <w:szCs w:val="20"/>
                <w:lang w:val="uk-UA" w:eastAsia="en-US"/>
              </w:rPr>
            </w:pPr>
            <w:r w:rsidRPr="00646475">
              <w:rPr>
                <w:sz w:val="20"/>
                <w:szCs w:val="20"/>
                <w:lang w:val="uk-UA" w:eastAsia="en-US"/>
              </w:rPr>
              <w:t>Дані поправки не вплинули на фінансову звітність Товариства, але можуть бути застосовні в майбутньому, якщо Товариство проведе операцію по об'єднанню бізнесів.</w:t>
            </w:r>
          </w:p>
          <w:p w:rsidR="005E41F3" w:rsidRPr="00646475" w:rsidRDefault="005E41F3" w:rsidP="005E41F3">
            <w:pPr>
              <w:jc w:val="right"/>
              <w:rPr>
                <w:sz w:val="20"/>
                <w:szCs w:val="20"/>
                <w:lang w:val="uk-UA"/>
              </w:rPr>
            </w:pPr>
          </w:p>
        </w:tc>
      </w:tr>
      <w:tr w:rsidR="005E41F3" w:rsidRPr="00646475" w:rsidTr="005E41F3">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МСФЗ 9 «Фінансові інструменти», МСФОЗ 7 «Фінансові інструменти: розкриття інформації», МСБО 39 «Фінансові інструменти: визнання та оцінка». «Реформа відсоткової ставки та її вплив на фінансову звітність» - 1 етап</w:t>
            </w:r>
          </w:p>
          <w:p w:rsidR="005E41F3" w:rsidRPr="00646475" w:rsidRDefault="005E41F3" w:rsidP="005E41F3">
            <w:pPr>
              <w:rPr>
                <w:sz w:val="20"/>
                <w:szCs w:val="20"/>
                <w:lang w:val="uk-UA"/>
              </w:rPr>
            </w:pPr>
            <w:r w:rsidRPr="00646475">
              <w:rPr>
                <w:sz w:val="20"/>
                <w:szCs w:val="20"/>
                <w:lang w:val="uk-UA"/>
              </w:rPr>
              <w:t>Зміни стосуються процентних ставок (такі як LIBOR, EURIBOR і TIBOR), що використовуються в різних фінансових інструментах: від іпотечних кредитів до похідних інструментів.</w:t>
            </w:r>
          </w:p>
          <w:p w:rsidR="005E41F3" w:rsidRPr="00646475" w:rsidRDefault="005E41F3" w:rsidP="005E41F3">
            <w:pPr>
              <w:rPr>
                <w:sz w:val="20"/>
                <w:szCs w:val="20"/>
                <w:lang w:val="uk-UA"/>
              </w:rPr>
            </w:pPr>
            <w:r w:rsidRPr="00646475">
              <w:rPr>
                <w:sz w:val="20"/>
                <w:szCs w:val="20"/>
                <w:lang w:val="uk-UA"/>
              </w:rPr>
              <w:t xml:space="preserve">Поправки: </w:t>
            </w:r>
          </w:p>
          <w:p w:rsidR="005E41F3" w:rsidRPr="00646475" w:rsidRDefault="005E41F3" w:rsidP="005E41F3">
            <w:pPr>
              <w:rPr>
                <w:sz w:val="20"/>
                <w:szCs w:val="20"/>
                <w:lang w:val="uk-UA"/>
              </w:rPr>
            </w:pPr>
            <w:r w:rsidRPr="00646475">
              <w:rPr>
                <w:sz w:val="20"/>
                <w:szCs w:val="20"/>
                <w:lang w:val="uk-UA"/>
              </w:rPr>
              <w:t></w:t>
            </w:r>
            <w:r w:rsidRPr="00646475">
              <w:rPr>
                <w:sz w:val="20"/>
                <w:szCs w:val="20"/>
                <w:lang w:val="uk-UA"/>
              </w:rPr>
              <w:tab/>
              <w:t>змінили вимоги до обліку хеджування: при обліку хеджування передбачається, що контрольний показник процентної ставки, на якому засновані грошові потоки, що хеджуються і грошові потоки від інструменту хеджування, не зміниться в результаті реформи;</w:t>
            </w:r>
          </w:p>
          <w:p w:rsidR="005E41F3" w:rsidRPr="00646475" w:rsidRDefault="005E41F3" w:rsidP="005E41F3">
            <w:pPr>
              <w:rPr>
                <w:sz w:val="20"/>
                <w:szCs w:val="20"/>
                <w:lang w:val="uk-UA"/>
              </w:rPr>
            </w:pPr>
            <w:r w:rsidRPr="00646475">
              <w:rPr>
                <w:sz w:val="20"/>
                <w:szCs w:val="20"/>
                <w:lang w:val="uk-UA"/>
              </w:rPr>
              <w:t></w:t>
            </w:r>
            <w:r w:rsidRPr="00646475">
              <w:rPr>
                <w:sz w:val="20"/>
                <w:szCs w:val="20"/>
                <w:lang w:val="uk-UA"/>
              </w:rPr>
              <w:tab/>
              <w:t xml:space="preserve">обов'язкові для всіх відносин хеджування, на які </w:t>
            </w:r>
            <w:r w:rsidRPr="00646475">
              <w:rPr>
                <w:sz w:val="20"/>
                <w:szCs w:val="20"/>
                <w:lang w:val="uk-UA"/>
              </w:rPr>
              <w:lastRenderedPageBreak/>
              <w:t>безпосередньо впливає реформа внутрішньобанківської ставки рефінансування;</w:t>
            </w:r>
          </w:p>
          <w:p w:rsidR="005E41F3" w:rsidRPr="00646475" w:rsidRDefault="005E41F3" w:rsidP="005E41F3">
            <w:pPr>
              <w:rPr>
                <w:sz w:val="20"/>
                <w:szCs w:val="20"/>
                <w:lang w:val="uk-UA"/>
              </w:rPr>
            </w:pPr>
            <w:r w:rsidRPr="00646475">
              <w:rPr>
                <w:sz w:val="20"/>
                <w:szCs w:val="20"/>
                <w:lang w:val="uk-UA"/>
              </w:rPr>
              <w:t></w:t>
            </w:r>
            <w:r w:rsidRPr="00646475">
              <w:rPr>
                <w:sz w:val="20"/>
                <w:szCs w:val="20"/>
                <w:lang w:val="uk-UA"/>
              </w:rPr>
              <w:tab/>
              <w:t>не можна використовувати для усунення будь-яких інших наслідків реформи;</w:t>
            </w:r>
          </w:p>
          <w:p w:rsidR="005E41F3" w:rsidRPr="00646475" w:rsidRDefault="005E41F3" w:rsidP="005E41F3">
            <w:pPr>
              <w:rPr>
                <w:sz w:val="20"/>
                <w:szCs w:val="20"/>
                <w:lang w:val="uk-UA"/>
              </w:rPr>
            </w:pPr>
            <w:r w:rsidRPr="00646475">
              <w:rPr>
                <w:sz w:val="20"/>
                <w:szCs w:val="20"/>
                <w:lang w:val="uk-UA"/>
              </w:rPr>
              <w:t>вимагають розкриття інформації про ступінь впливу поправок на відносини хеджування.</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lang w:val="uk-UA"/>
              </w:rPr>
            </w:pPr>
            <w:r w:rsidRPr="00646475">
              <w:rPr>
                <w:sz w:val="20"/>
                <w:szCs w:val="20"/>
                <w:lang w:val="uk-UA"/>
              </w:rPr>
              <w:lastRenderedPageBreak/>
              <w:t>1 січня 2020 року</w:t>
            </w:r>
          </w:p>
          <w:p w:rsidR="005E41F3" w:rsidRPr="00646475" w:rsidRDefault="005E41F3" w:rsidP="005E41F3">
            <w:pPr>
              <w:jc w:val="right"/>
              <w:rPr>
                <w:sz w:val="20"/>
                <w:szCs w:val="20"/>
                <w:lang w:val="uk-UA"/>
              </w:rPr>
            </w:pPr>
          </w:p>
        </w:tc>
        <w:tc>
          <w:tcPr>
            <w:tcW w:w="1886" w:type="dxa"/>
            <w:tcBorders>
              <w:top w:val="nil"/>
              <w:left w:val="nil"/>
              <w:bottom w:val="single" w:sz="8" w:space="0" w:color="auto"/>
              <w:right w:val="single" w:sz="8" w:space="0" w:color="auto"/>
            </w:tcBorders>
          </w:tcPr>
          <w:p w:rsidR="005E41F3" w:rsidRPr="00646475" w:rsidRDefault="005E41F3" w:rsidP="005E41F3">
            <w:pPr>
              <w:rPr>
                <w:sz w:val="20"/>
                <w:szCs w:val="20"/>
                <w:lang w:val="uk-UA" w:eastAsia="en-US"/>
              </w:rPr>
            </w:pPr>
            <w:r w:rsidRPr="00646475">
              <w:rPr>
                <w:sz w:val="20"/>
                <w:szCs w:val="20"/>
                <w:lang w:val="uk-UA" w:eastAsia="en-US"/>
              </w:rPr>
              <w:t xml:space="preserve">Дані поправки не вплинули на фінансову звітність Товариства, оскільки відсутні відносини хеджування, що базуються на процентних ставках. </w:t>
            </w:r>
          </w:p>
          <w:p w:rsidR="005E41F3" w:rsidRPr="00646475" w:rsidRDefault="005E41F3" w:rsidP="005E41F3">
            <w:pPr>
              <w:jc w:val="right"/>
              <w:rPr>
                <w:sz w:val="20"/>
                <w:szCs w:val="20"/>
                <w:lang w:val="uk-UA"/>
              </w:rPr>
            </w:pPr>
          </w:p>
        </w:tc>
      </w:tr>
    </w:tbl>
    <w:p w:rsidR="005E41F3" w:rsidRPr="002579A5" w:rsidRDefault="005E41F3" w:rsidP="005E41F3">
      <w:pPr>
        <w:ind w:firstLine="567"/>
        <w:jc w:val="both"/>
        <w:rPr>
          <w:lang w:val="uk-UA"/>
        </w:rPr>
      </w:pPr>
      <w:r w:rsidRPr="009B510A">
        <w:rPr>
          <w:lang w:val="uk-UA"/>
        </w:rPr>
        <w:lastRenderedPageBreak/>
        <w:t>Перелічені вище стандарти та правки до них не вплинули на фінансову звітність Товариства.</w:t>
      </w:r>
      <w:r w:rsidRPr="002579A5">
        <w:rPr>
          <w:lang w:val="uk-UA"/>
        </w:rPr>
        <w:t xml:space="preserve"> </w:t>
      </w:r>
    </w:p>
    <w:p w:rsidR="005E41F3" w:rsidRPr="000004B4" w:rsidRDefault="005E41F3" w:rsidP="005E41F3">
      <w:pPr>
        <w:ind w:firstLine="567"/>
        <w:jc w:val="both"/>
        <w:rPr>
          <w:lang w:val="uk-UA" w:eastAsia="en-US"/>
        </w:rPr>
      </w:pPr>
      <w:r w:rsidRPr="002579A5">
        <w:rPr>
          <w:lang w:val="uk-UA" w:eastAsia="en-US"/>
        </w:rPr>
        <w:t>Нижче наводяться</w:t>
      </w:r>
      <w:r w:rsidRPr="000004B4">
        <w:rPr>
          <w:lang w:val="uk-UA" w:eastAsia="en-US"/>
        </w:rPr>
        <w:t xml:space="preserve"> нові стандарти, поправки та роз'яснення, які були випущені, але ще не вступили в силу на дату випуску фінансової звітності Товариства. </w:t>
      </w:r>
    </w:p>
    <w:tbl>
      <w:tblPr>
        <w:tblW w:w="0" w:type="auto"/>
        <w:tblCellMar>
          <w:left w:w="0" w:type="dxa"/>
          <w:right w:w="0" w:type="dxa"/>
        </w:tblCellMar>
        <w:tblLook w:val="04A0" w:firstRow="1" w:lastRow="0" w:firstColumn="1" w:lastColumn="0" w:noHBand="0" w:noVBand="1"/>
      </w:tblPr>
      <w:tblGrid>
        <w:gridCol w:w="7913"/>
        <w:gridCol w:w="1940"/>
      </w:tblGrid>
      <w:tr w:rsidR="005E41F3" w:rsidRPr="000C04EF" w:rsidTr="005E41F3">
        <w:tc>
          <w:tcPr>
            <w:tcW w:w="83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E41F3" w:rsidRPr="00646475" w:rsidRDefault="005E41F3" w:rsidP="005E41F3">
            <w:pPr>
              <w:jc w:val="center"/>
              <w:rPr>
                <w:sz w:val="20"/>
                <w:szCs w:val="20"/>
                <w:lang w:val="uk-UA"/>
              </w:rPr>
            </w:pPr>
          </w:p>
          <w:p w:rsidR="005E41F3" w:rsidRPr="00646475" w:rsidRDefault="005E41F3" w:rsidP="005E41F3">
            <w:pPr>
              <w:jc w:val="center"/>
              <w:rPr>
                <w:sz w:val="20"/>
                <w:szCs w:val="20"/>
                <w:lang w:val="uk-UA"/>
              </w:rPr>
            </w:pPr>
          </w:p>
          <w:p w:rsidR="005E41F3" w:rsidRPr="00646475" w:rsidRDefault="005E41F3" w:rsidP="005E41F3">
            <w:pPr>
              <w:jc w:val="center"/>
              <w:rPr>
                <w:sz w:val="20"/>
                <w:szCs w:val="20"/>
                <w:lang w:val="uk-UA"/>
              </w:rPr>
            </w:pPr>
            <w:r w:rsidRPr="00646475">
              <w:rPr>
                <w:sz w:val="20"/>
                <w:szCs w:val="20"/>
                <w:lang w:val="uk-UA"/>
              </w:rPr>
              <w:t>Стандарти/тлумачення</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E41F3" w:rsidRPr="00646475" w:rsidRDefault="005E41F3" w:rsidP="005E41F3">
            <w:pPr>
              <w:jc w:val="center"/>
              <w:rPr>
                <w:sz w:val="20"/>
                <w:szCs w:val="20"/>
                <w:lang w:val="uk-UA"/>
              </w:rPr>
            </w:pPr>
            <w:r w:rsidRPr="00646475">
              <w:rPr>
                <w:sz w:val="20"/>
                <w:szCs w:val="20"/>
                <w:lang w:val="uk-UA"/>
              </w:rPr>
              <w:t>Набувають чинності для річних облікових періодів, які починаються на або після</w:t>
            </w:r>
          </w:p>
        </w:tc>
      </w:tr>
      <w:tr w:rsidR="005E41F3" w:rsidRPr="000C04EF" w:rsidTr="005E41F3">
        <w:tc>
          <w:tcPr>
            <w:tcW w:w="83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rPr>
            </w:pPr>
            <w:r w:rsidRPr="00646475">
              <w:rPr>
                <w:sz w:val="20"/>
                <w:szCs w:val="20"/>
                <w:lang w:val="uk-UA"/>
              </w:rPr>
              <w:t>Поправки до МСФЗ 9, МСБО 39 та МСФЗ 7 «Реформа відсоткової ставки та її вплив на фінансову звітність» - 2 етап</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2021 рік</w:t>
            </w:r>
          </w:p>
          <w:p w:rsidR="005E41F3" w:rsidRPr="00646475" w:rsidRDefault="005E41F3" w:rsidP="005E41F3">
            <w:pPr>
              <w:jc w:val="right"/>
              <w:rPr>
                <w:sz w:val="20"/>
                <w:szCs w:val="20"/>
              </w:rPr>
            </w:pP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МСБО 37 «Обтяжливі договори – витрати на виконання договору»</w:t>
            </w:r>
          </w:p>
          <w:p w:rsidR="005E41F3" w:rsidRPr="00646475" w:rsidRDefault="005E41F3" w:rsidP="005E41F3">
            <w:pPr>
              <w:jc w:val="both"/>
              <w:rPr>
                <w:sz w:val="20"/>
                <w:szCs w:val="20"/>
                <w:lang w:val="uk-UA" w:eastAsia="en-US"/>
              </w:rPr>
            </w:pPr>
            <w:r w:rsidRPr="00646475">
              <w:rPr>
                <w:sz w:val="20"/>
                <w:szCs w:val="20"/>
                <w:lang w:val="uk-UA" w:eastAsia="en-US"/>
              </w:rPr>
              <w:t>У травні 2020 року Рада з МСФЗ випустила поправки до МСФЗ (IAS) 37, в яких роз'яснюється, які витрати організація повинна враховувати при оцінці того, чи є договір обтяжливим або збитковим.</w:t>
            </w:r>
          </w:p>
          <w:p w:rsidR="005E41F3" w:rsidRPr="00646475" w:rsidRDefault="005E41F3" w:rsidP="005E41F3">
            <w:pPr>
              <w:jc w:val="both"/>
              <w:rPr>
                <w:sz w:val="20"/>
                <w:szCs w:val="20"/>
              </w:rPr>
            </w:pPr>
            <w:r w:rsidRPr="00646475">
              <w:rPr>
                <w:sz w:val="20"/>
                <w:szCs w:val="20"/>
                <w:lang w:val="uk-UA" w:eastAsia="en-US"/>
              </w:rPr>
              <w:t>Поправки передбачають застосування підходу, який базується на «витратах, безпосередньо пов'язаних з договором». Витрати, безпосередньо пов'язані з договором на надання товарів або послуг, включають як додаткові витрати на виконання цього договору, так і розподілені витрати, безпосередньо пов'язані з виконанням договору. Загальні і адміністративні витрати не пов'язані безпосередньо з договором і, отже, виключаються, окрім випадків, коли вони явно підлягають відшкодуванню контрагентом за договором.</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2022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МСБО 16 «Основні засоби: надходження від продажу виробів, вироблених до часу, коли актив став доступним для використання»</w:t>
            </w:r>
          </w:p>
          <w:p w:rsidR="005E41F3" w:rsidRPr="00646475" w:rsidRDefault="005E41F3" w:rsidP="005E41F3">
            <w:pPr>
              <w:jc w:val="both"/>
              <w:rPr>
                <w:sz w:val="20"/>
                <w:szCs w:val="20"/>
                <w:lang w:val="uk-UA"/>
              </w:rPr>
            </w:pPr>
            <w:r w:rsidRPr="00646475">
              <w:rPr>
                <w:sz w:val="20"/>
                <w:szCs w:val="20"/>
                <w:lang w:val="uk-UA" w:eastAsia="en-US"/>
              </w:rPr>
              <w:t>У травні 2020 року Рада з МСФЗ випустила документ «Основні засоби: надходження до використання за призначенням», який забороняє організаціям віднімати з первісної вартості об'єкта основних засобів будь-які надходження від продажу виробів, вироблених в процесі доставки цього об'єкта до місця розташування та приведення його у стан, який потрібен для його експлуатації відповідно до вимог керівництва. Замість цього організація визнає надходження від продажу таких виробів, а також вартість виробництва цих виробів в прибутку чи збитку.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2022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«Щорічні удосконалення МСФЗ за період 2018-2020»</w:t>
            </w:r>
          </w:p>
          <w:p w:rsidR="005E41F3" w:rsidRPr="00646475" w:rsidRDefault="005E41F3" w:rsidP="005E41F3">
            <w:pPr>
              <w:jc w:val="both"/>
              <w:rPr>
                <w:sz w:val="20"/>
                <w:szCs w:val="20"/>
              </w:rPr>
            </w:pPr>
            <w:r w:rsidRPr="00646475">
              <w:rPr>
                <w:sz w:val="20"/>
                <w:szCs w:val="20"/>
                <w:lang w:val="uk-UA" w:eastAsia="en-US"/>
              </w:rPr>
              <w:t xml:space="preserve">В рамках процесу щорічних удосконалень МСФЗ, період 2018-2020 років, Рада з МСФЗ випустила поправку до МСФЗ (IFRS) 1 «Перше застосування Міжнародних стандартів фінансової звітності». Відповідно до даної поправки дочірня організація, яка вирішує застосувати пункт D16 (a) МСФЗ (IFRS) 1, має право оцінювати накопичені курсові різниці з використанням сум, відображених у фінансовій звітності материнського підприємства, виходячи з дати переходу материнського підприємства на МСФЗ. Дана поправка також може бути застосована до асоційованих організацій та спільних підприємств, які вирішують застосовувати пункт D16 (a) МСФЗ (IFRS) 1.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2022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Посилання на Концептуальну основу (поправки до МСФЗ 3)</w:t>
            </w:r>
          </w:p>
          <w:p w:rsidR="005E41F3" w:rsidRPr="00646475" w:rsidRDefault="005E41F3" w:rsidP="005E41F3">
            <w:pPr>
              <w:jc w:val="both"/>
              <w:rPr>
                <w:sz w:val="20"/>
                <w:szCs w:val="20"/>
                <w:lang w:val="uk-UA" w:eastAsia="en-US"/>
              </w:rPr>
            </w:pPr>
            <w:r w:rsidRPr="00646475">
              <w:rPr>
                <w:sz w:val="20"/>
                <w:szCs w:val="20"/>
                <w:lang w:val="uk-UA" w:eastAsia="en-US"/>
              </w:rPr>
              <w:t>У травні 2020 року Рада з МСФЗ випустила поправки до МСФЗ (IFRS) 3 «Об'єднання бізнесів» - «Посилання на концептуальні основи». Мета даних поправок –замінити посилання на «Концепцію підготовки та подання фінансової звітності», випущену в 1989 році, на посилання на «Концептуальні основи подання фінансових звітів», випущені в березні 2018 року, без внесення значних змін у вимоги стандарту.</w:t>
            </w:r>
          </w:p>
          <w:p w:rsidR="005E41F3" w:rsidRPr="00646475" w:rsidRDefault="005E41F3" w:rsidP="005E41F3">
            <w:pPr>
              <w:jc w:val="both"/>
              <w:rPr>
                <w:sz w:val="20"/>
                <w:szCs w:val="20"/>
                <w:lang w:val="uk-UA" w:eastAsia="en-US"/>
              </w:rPr>
            </w:pPr>
            <w:r w:rsidRPr="00646475">
              <w:rPr>
                <w:sz w:val="20"/>
                <w:szCs w:val="20"/>
                <w:lang w:val="uk-UA" w:eastAsia="en-US"/>
              </w:rPr>
              <w:t>Рада також додала виключення з принципу визнання в МСФЗ (IFRS) 3, щоб уникнути виникнення потенційних прибутків або збитків «2-го дня», для зобов'язань і умовних зобов'язань, які б відносились до сфери застосування МСФЗ (IAS) 37 або Роз'яснення КТМФЗ (IFRIC) 21 «Обов'язкові платежі», якби вони виникали в рамках окремих операцій.</w:t>
            </w:r>
          </w:p>
          <w:p w:rsidR="005E41F3" w:rsidRPr="00646475" w:rsidRDefault="005E41F3" w:rsidP="005E41F3">
            <w:pPr>
              <w:jc w:val="both"/>
              <w:rPr>
                <w:sz w:val="20"/>
                <w:szCs w:val="20"/>
                <w:lang w:val="uk-UA"/>
              </w:rPr>
            </w:pPr>
            <w:r w:rsidRPr="00646475">
              <w:rPr>
                <w:sz w:val="20"/>
                <w:szCs w:val="20"/>
                <w:lang w:val="uk-UA" w:eastAsia="en-US"/>
              </w:rPr>
              <w:t>В той же час Рада вирішила роз'яснити існуючі вимоги МСФЗ (IFRS) 3 щодо умовних активів, на які заміна посилань на «Концепцію підготовки та подання фінансової звітності» не вплине.</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2022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МСФЗ 17 «Страхові контракти»</w:t>
            </w:r>
          </w:p>
          <w:p w:rsidR="005E41F3" w:rsidRPr="00646475" w:rsidRDefault="005E41F3" w:rsidP="005E41F3">
            <w:pPr>
              <w:jc w:val="both"/>
              <w:rPr>
                <w:sz w:val="20"/>
                <w:szCs w:val="20"/>
                <w:lang w:val="uk-UA" w:eastAsia="en-US"/>
              </w:rPr>
            </w:pPr>
            <w:r w:rsidRPr="00646475">
              <w:rPr>
                <w:sz w:val="20"/>
                <w:szCs w:val="20"/>
                <w:lang w:val="uk-UA" w:eastAsia="en-US"/>
              </w:rPr>
              <w:t xml:space="preserve">В травні 2017 року Рада з МСФЗ випустила МСФЗ (IFRS) 17 «Договори страхування», </w:t>
            </w:r>
            <w:r w:rsidRPr="00646475">
              <w:rPr>
                <w:sz w:val="20"/>
                <w:szCs w:val="20"/>
                <w:lang w:val="uk-UA" w:eastAsia="en-US"/>
              </w:rPr>
              <w:lastRenderedPageBreak/>
              <w:t>новий всеосяжний стандарт фінансової звітності для договорів страхування, який розглядає питання визнання та оцінки, подання та розкриття інформації. Коли МСФЗ (IFRS) 17 вступить в силу, він замінить собою МСФЗ (IFRS) 4 "Страхові контракти", який був випущений в 2005 році. МСФЗ (IFRS) 17 застосовується до всіх видів договорів страхування (тобто страхування життя і страхування, відмінне від страхування життя, пряме страхування і перестрахування) незалежно від виду організації, яка випускає їх, а також до певних гарантій і фінансових інструментів з умовами дискреційної участі. Існують декілька винятків зі сфери застосування. Основна мета МСФЗ (IFRS) 17 полягає в наданні моделі обліку договорів страхування, яка є більш ефективною і послідовною для страховиків. На відміну від вимог МСФЗ (IFRS) 4, які в основному базуються на попередніх місцевих облікових політиках, МСФЗ (IFRS) 17 надає всебічну модель обліку договорів страхування, охоплюючи всі доречні аспекти обліку. В основі МСФЗ (IFRS) 17 лежить загальна модель, доповнена наступним:</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eastAsia="en-US"/>
              </w:rPr>
            </w:pPr>
            <w:r w:rsidRPr="00646475">
              <w:rPr>
                <w:sz w:val="20"/>
                <w:szCs w:val="20"/>
                <w:lang w:val="uk-UA" w:eastAsia="en-US"/>
              </w:rPr>
              <w:t>Певні модифікації для договорів страхування з умовами прямої участі (метод змінної винагороди).</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rPr>
            </w:pPr>
            <w:r w:rsidRPr="00646475">
              <w:rPr>
                <w:sz w:val="20"/>
                <w:szCs w:val="20"/>
                <w:lang w:val="uk-UA" w:eastAsia="en-US"/>
              </w:rPr>
              <w:t>Спрощений підхід (підхід на основі розподілу премії) в основному для короткострокових договорів.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lastRenderedPageBreak/>
              <w:t>2023 рік</w:t>
            </w:r>
          </w:p>
        </w:tc>
      </w:tr>
      <w:tr w:rsidR="005E41F3" w:rsidRPr="00DE67B2" w:rsidTr="005E41F3">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rPr>
                <w:sz w:val="20"/>
                <w:szCs w:val="20"/>
                <w:lang w:val="uk-UA"/>
              </w:rPr>
            </w:pPr>
            <w:r w:rsidRPr="00646475">
              <w:rPr>
                <w:sz w:val="20"/>
                <w:szCs w:val="20"/>
                <w:lang w:val="uk-UA"/>
              </w:rPr>
              <w:t>Поправки до МСБО 1 «Класифікація зобов’язань на поточні та довгострокові»</w:t>
            </w:r>
          </w:p>
          <w:p w:rsidR="005E41F3" w:rsidRPr="00646475" w:rsidRDefault="005E41F3" w:rsidP="005E41F3">
            <w:pPr>
              <w:jc w:val="both"/>
              <w:rPr>
                <w:sz w:val="20"/>
                <w:szCs w:val="20"/>
                <w:lang w:val="uk-UA" w:eastAsia="en-US"/>
              </w:rPr>
            </w:pPr>
            <w:r w:rsidRPr="00646475">
              <w:rPr>
                <w:sz w:val="20"/>
                <w:szCs w:val="20"/>
                <w:lang w:val="uk-UA" w:eastAsia="en-US"/>
              </w:rPr>
              <w:t>У січні 2020 року Рада з МСФЗ випустила поправки до пунктів 69-76 МСФЗ (IAS) 1, в яких пояснюються вимоги щодо класифікації зобов'язань як короткострокових або довгострокових. У поправках пояснюється наступне:</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eastAsia="en-US"/>
              </w:rPr>
            </w:pPr>
            <w:r w:rsidRPr="00646475">
              <w:rPr>
                <w:sz w:val="20"/>
                <w:szCs w:val="20"/>
                <w:lang w:val="uk-UA" w:eastAsia="en-US"/>
              </w:rPr>
              <w:t>що розуміється під правом відкласти врегулювання зобов'язань;</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eastAsia="en-US"/>
              </w:rPr>
            </w:pPr>
            <w:r w:rsidRPr="00646475">
              <w:rPr>
                <w:sz w:val="20"/>
                <w:szCs w:val="20"/>
                <w:lang w:val="uk-UA" w:eastAsia="en-US"/>
              </w:rPr>
              <w:t>право відкласти врегулювання зобов'язань повинно існувати на кінець звітного періоду;</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eastAsia="en-US"/>
              </w:rPr>
            </w:pPr>
            <w:r w:rsidRPr="00646475">
              <w:rPr>
                <w:sz w:val="20"/>
                <w:szCs w:val="20"/>
                <w:lang w:val="uk-UA" w:eastAsia="en-US"/>
              </w:rPr>
              <w:t xml:space="preserve">на класифікацію зобов'язань не впливає ймовірність того, що організація виконає своє право відкласти врегулювання зобов'язання;  </w:t>
            </w:r>
          </w:p>
          <w:p w:rsidR="005E41F3" w:rsidRPr="00646475" w:rsidRDefault="005E41F3" w:rsidP="005E41F3">
            <w:pPr>
              <w:widowControl/>
              <w:numPr>
                <w:ilvl w:val="0"/>
                <w:numId w:val="33"/>
              </w:numPr>
              <w:suppressAutoHyphens w:val="0"/>
              <w:spacing w:after="160" w:line="259" w:lineRule="auto"/>
              <w:ind w:hanging="720"/>
              <w:contextualSpacing/>
              <w:jc w:val="both"/>
              <w:rPr>
                <w:sz w:val="20"/>
                <w:szCs w:val="20"/>
                <w:lang w:val="uk-UA"/>
              </w:rPr>
            </w:pPr>
            <w:r w:rsidRPr="00646475">
              <w:rPr>
                <w:sz w:val="20"/>
                <w:szCs w:val="20"/>
                <w:lang w:val="uk-UA" w:eastAsia="en-US"/>
              </w:rPr>
              <w:t>умови зобов'язання не впливатимуть на його класифікацію, тільки якщо похідний інструмент, який входить в конвертоване зобов'язання, сам по собі є інструментом власного капіталу.</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5E41F3" w:rsidRPr="00646475" w:rsidRDefault="005E41F3" w:rsidP="005E41F3">
            <w:pPr>
              <w:jc w:val="right"/>
              <w:rPr>
                <w:sz w:val="20"/>
                <w:szCs w:val="20"/>
              </w:rPr>
            </w:pPr>
            <w:r w:rsidRPr="00646475">
              <w:rPr>
                <w:sz w:val="20"/>
                <w:szCs w:val="20"/>
                <w:lang w:val="uk-UA"/>
              </w:rPr>
              <w:t>2023 рік</w:t>
            </w:r>
          </w:p>
        </w:tc>
      </w:tr>
    </w:tbl>
    <w:p w:rsidR="005E41F3" w:rsidRPr="00BA7445" w:rsidRDefault="005E41F3" w:rsidP="005E41F3">
      <w:pPr>
        <w:spacing w:before="120" w:after="120"/>
        <w:ind w:firstLine="567"/>
        <w:jc w:val="both"/>
        <w:rPr>
          <w:lang w:val="uk-UA"/>
        </w:rPr>
      </w:pPr>
      <w:r w:rsidRPr="00BA7445">
        <w:rPr>
          <w:lang w:val="uk-UA"/>
        </w:rPr>
        <w:t>Товариство у фінансовій звітності за рік, що закінчився 31.12.2020</w:t>
      </w:r>
      <w:r>
        <w:rPr>
          <w:lang w:val="uk-UA"/>
        </w:rPr>
        <w:t xml:space="preserve"> р., не застосов</w:t>
      </w:r>
      <w:r w:rsidRPr="00BA7445">
        <w:rPr>
          <w:lang w:val="uk-UA"/>
        </w:rPr>
        <w:t>увало достроково опубліковані МСФЗ, поправки до них та інтерпретації. Прогнозований (очікуваний) ступінь впливу опублікованих МСФЗ, поправок до них та інтерпретацій на наступні звітні періоди вивчається підприємством.</w:t>
      </w:r>
    </w:p>
    <w:p w:rsidR="00C42918" w:rsidRPr="00601BCC" w:rsidRDefault="00C42918" w:rsidP="00C42918">
      <w:pPr>
        <w:spacing w:before="120" w:after="120"/>
        <w:jc w:val="both"/>
        <w:rPr>
          <w:b/>
          <w:smallCaps/>
          <w:lang w:val="uk-UA"/>
        </w:rPr>
      </w:pPr>
      <w:r w:rsidRPr="00601BCC">
        <w:rPr>
          <w:b/>
          <w:smallCaps/>
          <w:lang w:val="uk-UA"/>
        </w:rPr>
        <w:t xml:space="preserve">6. Облікові оцінки і основні джерела невизначеності в оцінках </w:t>
      </w:r>
    </w:p>
    <w:p w:rsidR="005E41F3" w:rsidRPr="00DF6236" w:rsidRDefault="005E41F3" w:rsidP="005E41F3">
      <w:pPr>
        <w:spacing w:before="120" w:after="120"/>
        <w:ind w:firstLine="708"/>
        <w:jc w:val="both"/>
        <w:rPr>
          <w:color w:val="000000"/>
          <w:lang w:val="uk-UA"/>
        </w:rPr>
      </w:pPr>
      <w:r w:rsidRPr="00DF6236">
        <w:rPr>
          <w:color w:val="000000"/>
          <w:lang w:val="uk-UA"/>
        </w:rPr>
        <w:t xml:space="preserve">При підготовці фінансової звітності Товариство робить оцінки та припущення, які мають вплив на визначення суми активів та зобов’язань, визначення доходів та витрат звітного періоду, ґрунтуючись на МСФЗ, МСБО та тлумаченнях, розроблених Комітетом з тлумачень міжнародної фінансової звітності. Фактичні результати можуть відрізнятися від таких оцінок. </w:t>
      </w:r>
    </w:p>
    <w:p w:rsidR="005E41F3" w:rsidRPr="00DF6236" w:rsidRDefault="005E41F3" w:rsidP="005E41F3">
      <w:pPr>
        <w:spacing w:before="120" w:after="120"/>
        <w:ind w:right="-58" w:firstLine="709"/>
        <w:jc w:val="both"/>
        <w:rPr>
          <w:color w:val="000000"/>
          <w:lang w:val="uk-UA"/>
        </w:rPr>
      </w:pPr>
      <w:r w:rsidRPr="00DF6236">
        <w:rPr>
          <w:b/>
          <w:i/>
          <w:color w:val="000000"/>
          <w:lang w:val="uk-UA"/>
        </w:rPr>
        <w:t xml:space="preserve">Безперервність діяльності. </w:t>
      </w:r>
      <w:r w:rsidRPr="00DF6236">
        <w:rPr>
          <w:color w:val="000000"/>
          <w:lang w:val="uk-UA"/>
        </w:rPr>
        <w:t xml:space="preserve">Керівництво здійснило оцінку щодо можливості подальшої безперервної діяльності ФК за визначеними видами діяльності та впевнилося, що Товариство має ресурси для продовження діяльності в досяжному майбутньому. Керівництву не відомо про будь-які значні невизначеності, що можуть викликати значну невпевненість у можливості здійснювати безперервну діяльність. Таким чином, складання фінансової звітності було здійснено виходячи з принципу безперервності діяльності. </w:t>
      </w:r>
    </w:p>
    <w:p w:rsidR="005E41F3" w:rsidRPr="00DF6236" w:rsidRDefault="005E41F3" w:rsidP="005E41F3">
      <w:pPr>
        <w:spacing w:before="120" w:after="120"/>
        <w:ind w:right="-1" w:firstLine="709"/>
        <w:jc w:val="both"/>
        <w:rPr>
          <w:lang w:val="uk-UA"/>
        </w:rPr>
      </w:pPr>
      <w:r w:rsidRPr="00DF6236">
        <w:rPr>
          <w:b/>
          <w:i/>
          <w:lang w:val="uk-UA"/>
        </w:rPr>
        <w:t>Оцінка бізнес-моделі.</w:t>
      </w:r>
      <w:r w:rsidRPr="00DF6236">
        <w:rPr>
          <w:lang w:val="uk-UA"/>
        </w:rPr>
        <w:t xml:space="preserve"> Класифікація і оцінка фінансових активів залежить від результатів тестування щодо виплат тільки основної суми та процентів, а також бізнес-моделі. Товариство визначає бізнес-модель на рівні, який відображає те, яким чином групи фінансових активів управляються разом для досягнення конкретної бізнес-цілі. Ця оцінка включає використання суджень, які відображають усі відповідні докази, включно зі способами оцінки показників діяльності активів та оцінки їхніх показників, ризики, які впливають на показники діяльності активів і способи їхнього управління, а також те, яким чином відбувається компенсація менеджерів активів. Товариство здійснює моніторинг фінансових активів, які оцінюються за амортизованою собівартістю або справедливою вартістю, із відображенням переоцінки у складі інших сукупних доходів, які припиняють </w:t>
      </w:r>
      <w:r w:rsidRPr="00DF6236">
        <w:rPr>
          <w:lang w:val="uk-UA"/>
        </w:rPr>
        <w:lastRenderedPageBreak/>
        <w:t xml:space="preserve">визнаватися до настання терміну їхнього погашення, для того, щоб зрозуміти причину їхнього вибуття, і чи відповідають такі причини цілі господарської діяльності, заради якої ці активи утримуються. Моніторинг є частиною постійної оцінки Товариством того, чи продовжує бізнес-модель, заради якої утримуються залишки фінансових активів, залишатися доречною і, якщо вона перестає бути доречною, чи відбулися зміни у бізнес-моделі та, відповідно, перспективні зміни у класифікації цих активів. </w:t>
      </w:r>
    </w:p>
    <w:p w:rsidR="005E41F3" w:rsidRPr="00DF6236" w:rsidRDefault="005E41F3" w:rsidP="005E41F3">
      <w:pPr>
        <w:spacing w:before="120" w:after="120"/>
        <w:ind w:right="-1" w:firstLine="709"/>
        <w:jc w:val="both"/>
        <w:rPr>
          <w:lang w:val="uk-UA"/>
        </w:rPr>
      </w:pPr>
      <w:r w:rsidRPr="00DF6236">
        <w:rPr>
          <w:b/>
          <w:i/>
          <w:lang w:val="uk-UA"/>
        </w:rPr>
        <w:t xml:space="preserve"> Істотне збільшення кредитного ризику.</w:t>
      </w:r>
      <w:r w:rsidRPr="00DF6236">
        <w:rPr>
          <w:lang w:val="uk-UA"/>
        </w:rPr>
        <w:t xml:space="preserve"> Очікувані кредитні збитки оцінюються як резерв, який дорівнює 12-ти місячним очікуваним кредитним збиткам для активів Етапу 1 або очікуваним кредитним збиткам на весь строк дії інструментів для активів Етапу 2 або Етапу 3. Актив переходить до Етапу 2, коли його кредитний ризик значно зростає з моменту первісного визнання. МСФЗ 9 не визначає те, що входить до значного зростання кредитного ризику. Під час оцінки того, чи збільшився кредитний ризик активу істотно, Товариство враховує якісну та кількісну обґрунтовану та корисну прогнозну інформацію.</w:t>
      </w:r>
    </w:p>
    <w:p w:rsidR="005E41F3" w:rsidRDefault="005E41F3" w:rsidP="005E41F3">
      <w:pPr>
        <w:spacing w:before="120" w:after="120"/>
        <w:ind w:right="-1" w:firstLine="709"/>
        <w:jc w:val="both"/>
        <w:rPr>
          <w:lang w:val="uk-UA"/>
        </w:rPr>
      </w:pPr>
      <w:r w:rsidRPr="00DF6236">
        <w:rPr>
          <w:b/>
          <w:i/>
          <w:lang w:val="uk-UA"/>
        </w:rPr>
        <w:t>Податкове законодавство.</w:t>
      </w:r>
      <w:r w:rsidRPr="00DF6236">
        <w:rPr>
          <w:lang w:val="uk-UA"/>
        </w:rPr>
        <w:t xml:space="preserve"> Внаслідок наявності в українському господарському, зокрема, податковому, законодавстві положень, які дозволяють більш ніж один варіант тлумачення, а також внаслідок практики, яка склалася в загалом нестабільному економічному середовищі через довільне тлумачення податковими органами різних аспектів економічної діяльності, Товариство, можливо, буде змушено визнати додаткові податкові зобов’язання, штрафи та пеню у разі, якщо податкові органи піддадуть сумніву певне тлумачення, засноване на судженні керівництва Товариства. Податкові записи залишаються відкритими для перегляду податковими органами протягом трьох років.</w:t>
      </w:r>
    </w:p>
    <w:p w:rsidR="005E41F3" w:rsidRPr="00233527" w:rsidRDefault="005E41F3" w:rsidP="005E41F3">
      <w:pPr>
        <w:shd w:val="clear" w:color="auto" w:fill="FFFFFF"/>
        <w:autoSpaceDE w:val="0"/>
        <w:autoSpaceDN w:val="0"/>
        <w:adjustRightInd w:val="0"/>
        <w:spacing w:before="120" w:after="120"/>
        <w:ind w:firstLine="624"/>
        <w:jc w:val="both"/>
        <w:rPr>
          <w:lang w:val="uk-UA"/>
        </w:rPr>
      </w:pPr>
      <w:r w:rsidRPr="00233527">
        <w:rPr>
          <w:b/>
          <w:i/>
          <w:lang w:val="uk-UA"/>
        </w:rPr>
        <w:t xml:space="preserve">Строки корисного використання основних засобів. </w:t>
      </w:r>
      <w:r w:rsidRPr="00233527">
        <w:rPr>
          <w:lang w:val="uk-UA"/>
        </w:rPr>
        <w:t>Оцінка строків корисного використання об'єктів основних засобів залежить від професійного судження керівництва, яке ґрунтується на досвіді роботи з аналогічними активами. При визначенні строків корисного використання активів керівництво бере до уваги умови очікуваного використання активів, моральний знос, фізичний знос і умови праці, в яких будуть експлуатуватися дані активи. Зміна будь-якого з цих умов або оцінок може в результаті привести до коригування майбутніх норм амортизації.</w:t>
      </w:r>
    </w:p>
    <w:p w:rsidR="00C42918" w:rsidRPr="00601BCC" w:rsidRDefault="00C42918" w:rsidP="005E41F3">
      <w:pPr>
        <w:spacing w:before="120" w:after="120"/>
        <w:ind w:firstLine="624"/>
        <w:jc w:val="both"/>
        <w:rPr>
          <w:lang w:val="uk-UA"/>
        </w:rPr>
      </w:pPr>
      <w:r w:rsidRPr="005E41F3">
        <w:rPr>
          <w:b/>
          <w:bCs/>
          <w:i/>
          <w:lang w:val="uk-UA"/>
        </w:rPr>
        <w:t>Судові спори і претензії</w:t>
      </w:r>
      <w:r w:rsidR="005E41F3">
        <w:rPr>
          <w:b/>
          <w:bCs/>
          <w:i/>
          <w:lang w:val="uk-UA"/>
        </w:rPr>
        <w:t xml:space="preserve">. </w:t>
      </w:r>
      <w:r w:rsidRPr="00601BCC">
        <w:rPr>
          <w:lang w:val="uk-UA"/>
        </w:rPr>
        <w:t xml:space="preserve">Товариство може бути об’єктом різного роду судових спорів і претензій, включаючи розгляди за справами про оскарження нормативних актів, стосовно результату яких існує значний ступінь невизначеності. Керівництво проводить оцінку, серед інших чинників, ступеню ймовірності несприятливого результату і можливості реальної оцінки суми збитку. </w:t>
      </w:r>
    </w:p>
    <w:p w:rsidR="00C42918" w:rsidRPr="00601BCC" w:rsidRDefault="00C42918" w:rsidP="00C42918">
      <w:pPr>
        <w:spacing w:before="120" w:after="120"/>
        <w:jc w:val="both"/>
        <w:rPr>
          <w:lang w:val="uk-UA"/>
        </w:rPr>
      </w:pPr>
      <w:r w:rsidRPr="00601BCC">
        <w:rPr>
          <w:lang w:val="uk-UA"/>
        </w:rPr>
        <w:t>Непередбачувані події або зміни цих факторів можуть вимагати збільшення або зменшення суми до нарахування або вимагати нарахування суми, не нарахованої раніше внаслідок того, що таке нарахування не вважалося ймовірним або реальна оцінка не була можливою.</w:t>
      </w:r>
    </w:p>
    <w:p w:rsidR="00C42918" w:rsidRPr="00603C20" w:rsidRDefault="00C42918" w:rsidP="00C42918">
      <w:pPr>
        <w:spacing w:before="120" w:after="120"/>
        <w:rPr>
          <w:b/>
          <w:smallCaps/>
          <w:lang w:val="uk-UA"/>
        </w:rPr>
      </w:pPr>
      <w:r w:rsidRPr="00603C20">
        <w:rPr>
          <w:b/>
          <w:smallCaps/>
          <w:lang w:val="uk-UA"/>
        </w:rPr>
        <w:t>7. Розкриття  показників фінансової звітності</w:t>
      </w:r>
    </w:p>
    <w:p w:rsidR="00A1036C" w:rsidRPr="00603C20" w:rsidRDefault="00A1036C" w:rsidP="00A1036C">
      <w:pPr>
        <w:autoSpaceDE w:val="0"/>
        <w:autoSpaceDN w:val="0"/>
        <w:adjustRightInd w:val="0"/>
        <w:spacing w:before="120" w:after="120"/>
        <w:jc w:val="both"/>
        <w:rPr>
          <w:color w:val="000000"/>
          <w:lang w:val="uk-UA" w:eastAsia="en-US"/>
        </w:rPr>
      </w:pPr>
      <w:r w:rsidRPr="00603C20">
        <w:rPr>
          <w:b/>
          <w:bCs/>
          <w:iCs/>
          <w:color w:val="000000"/>
          <w:lang w:val="uk-UA" w:eastAsia="uk-UA"/>
        </w:rPr>
        <w:t>7.1. Розкриття інформації, що підтверджує статті, подані у Звіті про фінансовий стан</w:t>
      </w:r>
    </w:p>
    <w:p w:rsidR="00A1036C" w:rsidRPr="00603C20" w:rsidRDefault="00A1036C" w:rsidP="00A1036C">
      <w:pPr>
        <w:autoSpaceDE w:val="0"/>
        <w:autoSpaceDN w:val="0"/>
        <w:adjustRightInd w:val="0"/>
        <w:spacing w:before="120" w:after="120"/>
        <w:jc w:val="both"/>
        <w:rPr>
          <w:color w:val="000000"/>
          <w:lang w:val="uk-UA" w:eastAsia="en-US"/>
        </w:rPr>
      </w:pPr>
      <w:r w:rsidRPr="00603C20">
        <w:rPr>
          <w:b/>
          <w:i/>
          <w:color w:val="000000"/>
          <w:lang w:val="uk-UA" w:eastAsia="en-US"/>
        </w:rPr>
        <w:t xml:space="preserve"> Основні засоби.</w:t>
      </w:r>
    </w:p>
    <w:p w:rsidR="00603C20" w:rsidRDefault="00603C20" w:rsidP="00603C20">
      <w:pPr>
        <w:spacing w:before="60"/>
        <w:jc w:val="both"/>
        <w:rPr>
          <w:rStyle w:val="hps"/>
          <w:lang w:val="uk-UA"/>
        </w:rPr>
      </w:pPr>
      <w:r w:rsidRPr="00603C20">
        <w:rPr>
          <w:rStyle w:val="hps"/>
          <w:lang w:val="uk-UA"/>
        </w:rPr>
        <w:t>Рух основ</w:t>
      </w:r>
      <w:r w:rsidR="00D81E9C">
        <w:rPr>
          <w:rStyle w:val="hps"/>
          <w:lang w:val="uk-UA"/>
        </w:rPr>
        <w:t>них засобів за період 01.01.2020 року по 31.12.2020</w:t>
      </w:r>
      <w:r w:rsidRPr="00603C20">
        <w:rPr>
          <w:rStyle w:val="hps"/>
          <w:lang w:val="uk-UA"/>
        </w:rPr>
        <w:t xml:space="preserve"> року був наступним:</w:t>
      </w:r>
    </w:p>
    <w:p w:rsidR="008243F2" w:rsidRPr="00603C20" w:rsidRDefault="008243F2" w:rsidP="008243F2">
      <w:pPr>
        <w:spacing w:before="60"/>
        <w:jc w:val="right"/>
        <w:rPr>
          <w:rStyle w:val="hps"/>
          <w:lang w:val="uk-UA"/>
        </w:rPr>
      </w:pPr>
      <w:r>
        <w:rPr>
          <w:rStyle w:val="hps"/>
          <w:lang w:val="uk-UA"/>
        </w:rPr>
        <w:t>тис. 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1985"/>
        <w:gridCol w:w="1134"/>
        <w:gridCol w:w="1417"/>
      </w:tblGrid>
      <w:tr w:rsidR="00603C20" w:rsidRPr="00603C20" w:rsidTr="008243F2">
        <w:trPr>
          <w:trHeight w:val="578"/>
        </w:trPr>
        <w:tc>
          <w:tcPr>
            <w:tcW w:w="2977" w:type="dxa"/>
            <w:shd w:val="clear" w:color="auto" w:fill="auto"/>
            <w:noWrap/>
            <w:vAlign w:val="bottom"/>
          </w:tcPr>
          <w:p w:rsidR="00603C20" w:rsidRPr="00603C20" w:rsidRDefault="00603C20" w:rsidP="00F83824">
            <w:pPr>
              <w:spacing w:before="60"/>
              <w:rPr>
                <w:lang w:val="uk-UA"/>
              </w:rPr>
            </w:pPr>
          </w:p>
        </w:tc>
        <w:tc>
          <w:tcPr>
            <w:tcW w:w="2126" w:type="dxa"/>
            <w:shd w:val="clear" w:color="auto" w:fill="auto"/>
            <w:vAlign w:val="center"/>
          </w:tcPr>
          <w:p w:rsidR="00603C20" w:rsidRPr="00603C20" w:rsidRDefault="00603C20" w:rsidP="00F83824">
            <w:pPr>
              <w:spacing w:before="60"/>
              <w:jc w:val="center"/>
              <w:rPr>
                <w:b/>
                <w:bCs/>
                <w:lang w:val="uk-UA"/>
              </w:rPr>
            </w:pPr>
            <w:r>
              <w:rPr>
                <w:b/>
                <w:bCs/>
                <w:lang w:val="uk-UA"/>
              </w:rPr>
              <w:t>Машини і обладнання</w:t>
            </w:r>
          </w:p>
        </w:tc>
        <w:tc>
          <w:tcPr>
            <w:tcW w:w="1985" w:type="dxa"/>
            <w:shd w:val="clear" w:color="auto" w:fill="auto"/>
            <w:vAlign w:val="bottom"/>
          </w:tcPr>
          <w:p w:rsidR="00603C20" w:rsidRPr="00603C20" w:rsidRDefault="00603C20" w:rsidP="00F83824">
            <w:pPr>
              <w:spacing w:before="60"/>
              <w:jc w:val="center"/>
              <w:rPr>
                <w:b/>
                <w:bCs/>
                <w:lang w:val="uk-UA"/>
              </w:rPr>
            </w:pPr>
            <w:r>
              <w:rPr>
                <w:b/>
                <w:bCs/>
                <w:lang w:val="uk-UA"/>
              </w:rPr>
              <w:t>Інструменти, приладдя та інвентар</w:t>
            </w:r>
          </w:p>
        </w:tc>
        <w:tc>
          <w:tcPr>
            <w:tcW w:w="1134" w:type="dxa"/>
            <w:shd w:val="clear" w:color="auto" w:fill="auto"/>
            <w:vAlign w:val="bottom"/>
          </w:tcPr>
          <w:p w:rsidR="00603C20" w:rsidRPr="00603C20" w:rsidRDefault="00603C20" w:rsidP="00F83824">
            <w:pPr>
              <w:spacing w:before="60"/>
              <w:jc w:val="center"/>
              <w:rPr>
                <w:b/>
                <w:bCs/>
                <w:lang w:val="uk-UA"/>
              </w:rPr>
            </w:pPr>
            <w:r>
              <w:rPr>
                <w:b/>
                <w:bCs/>
                <w:lang w:val="uk-UA"/>
              </w:rPr>
              <w:t>Інші</w:t>
            </w:r>
          </w:p>
        </w:tc>
        <w:tc>
          <w:tcPr>
            <w:tcW w:w="1417" w:type="dxa"/>
            <w:shd w:val="clear" w:color="auto" w:fill="auto"/>
            <w:vAlign w:val="center"/>
          </w:tcPr>
          <w:p w:rsidR="00603C20" w:rsidRPr="00603C20" w:rsidRDefault="00603C20" w:rsidP="00F83824">
            <w:pPr>
              <w:spacing w:before="60"/>
              <w:jc w:val="center"/>
              <w:rPr>
                <w:b/>
                <w:bCs/>
                <w:lang w:val="uk-UA"/>
              </w:rPr>
            </w:pPr>
            <w:r w:rsidRPr="00603C20">
              <w:rPr>
                <w:b/>
                <w:bCs/>
                <w:lang w:val="uk-UA"/>
              </w:rPr>
              <w:t>Всього</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Первісна вартість</w:t>
            </w:r>
          </w:p>
        </w:tc>
        <w:tc>
          <w:tcPr>
            <w:tcW w:w="2126" w:type="dxa"/>
            <w:shd w:val="clear" w:color="auto" w:fill="auto"/>
            <w:noWrap/>
            <w:vAlign w:val="bottom"/>
          </w:tcPr>
          <w:p w:rsidR="00603C20" w:rsidRPr="00603C20" w:rsidRDefault="00603C20" w:rsidP="00F83824">
            <w:pPr>
              <w:spacing w:before="60"/>
              <w:jc w:val="right"/>
              <w:rPr>
                <w:lang w:val="uk-UA"/>
              </w:rPr>
            </w:pPr>
          </w:p>
        </w:tc>
        <w:tc>
          <w:tcPr>
            <w:tcW w:w="1985" w:type="dxa"/>
            <w:shd w:val="clear" w:color="auto" w:fill="auto"/>
          </w:tcPr>
          <w:p w:rsidR="00603C20" w:rsidRPr="00603C20" w:rsidRDefault="00603C20" w:rsidP="00F83824">
            <w:pPr>
              <w:spacing w:before="60"/>
              <w:jc w:val="right"/>
              <w:rPr>
                <w:lang w:val="uk-UA"/>
              </w:rPr>
            </w:pPr>
          </w:p>
        </w:tc>
        <w:tc>
          <w:tcPr>
            <w:tcW w:w="1134" w:type="dxa"/>
            <w:shd w:val="clear" w:color="auto" w:fill="auto"/>
            <w:noWrap/>
            <w:vAlign w:val="bottom"/>
          </w:tcPr>
          <w:p w:rsidR="00603C20" w:rsidRPr="00603C20" w:rsidRDefault="00603C20" w:rsidP="00F83824">
            <w:pPr>
              <w:spacing w:before="60"/>
              <w:jc w:val="right"/>
              <w:rPr>
                <w:lang w:val="uk-UA"/>
              </w:rPr>
            </w:pPr>
          </w:p>
        </w:tc>
        <w:tc>
          <w:tcPr>
            <w:tcW w:w="1417" w:type="dxa"/>
            <w:shd w:val="clear" w:color="auto" w:fill="auto"/>
            <w:noWrap/>
            <w:vAlign w:val="bottom"/>
          </w:tcPr>
          <w:p w:rsidR="00603C20" w:rsidRPr="00603C20" w:rsidRDefault="00603C20" w:rsidP="00F83824">
            <w:pPr>
              <w:spacing w:before="60"/>
              <w:jc w:val="right"/>
              <w:rPr>
                <w:lang w:val="uk-UA"/>
              </w:rPr>
            </w:pPr>
          </w:p>
        </w:tc>
      </w:tr>
      <w:tr w:rsidR="00603C20" w:rsidRPr="00603C20" w:rsidTr="008243F2">
        <w:trPr>
          <w:trHeight w:val="20"/>
        </w:trPr>
        <w:tc>
          <w:tcPr>
            <w:tcW w:w="2977" w:type="dxa"/>
            <w:shd w:val="clear" w:color="auto" w:fill="auto"/>
            <w:noWrap/>
            <w:vAlign w:val="bottom"/>
          </w:tcPr>
          <w:p w:rsidR="00603C20" w:rsidRPr="00603C20" w:rsidRDefault="001D3A04" w:rsidP="00F83824">
            <w:pPr>
              <w:spacing w:before="60"/>
              <w:ind w:firstLineChars="100" w:firstLine="240"/>
              <w:rPr>
                <w:lang w:val="uk-UA"/>
              </w:rPr>
            </w:pPr>
            <w:r>
              <w:rPr>
                <w:lang w:val="uk-UA"/>
              </w:rPr>
              <w:t>на 01.01.2020</w:t>
            </w:r>
            <w:r w:rsidR="00603C20" w:rsidRPr="00603C20">
              <w:rPr>
                <w:lang w:val="uk-UA"/>
              </w:rPr>
              <w:t xml:space="preserve"> р.</w:t>
            </w:r>
          </w:p>
        </w:tc>
        <w:tc>
          <w:tcPr>
            <w:tcW w:w="2126" w:type="dxa"/>
            <w:shd w:val="clear" w:color="auto" w:fill="auto"/>
            <w:noWrap/>
            <w:vAlign w:val="bottom"/>
          </w:tcPr>
          <w:p w:rsidR="00603C20" w:rsidRPr="00603C20" w:rsidRDefault="009748E9" w:rsidP="00F83824">
            <w:pPr>
              <w:spacing w:before="60"/>
              <w:jc w:val="right"/>
              <w:rPr>
                <w:lang w:val="uk-UA"/>
              </w:rPr>
            </w:pPr>
            <w:r>
              <w:rPr>
                <w:lang w:val="uk-UA"/>
              </w:rPr>
              <w:t>67</w:t>
            </w:r>
          </w:p>
        </w:tc>
        <w:tc>
          <w:tcPr>
            <w:tcW w:w="1985" w:type="dxa"/>
            <w:shd w:val="clear" w:color="auto" w:fill="auto"/>
          </w:tcPr>
          <w:p w:rsidR="00603C20" w:rsidRPr="00603C20" w:rsidRDefault="001D3A04" w:rsidP="00F83824">
            <w:pPr>
              <w:spacing w:before="60"/>
              <w:jc w:val="right"/>
              <w:rPr>
                <w:lang w:val="uk-UA"/>
              </w:rPr>
            </w:pPr>
            <w:r>
              <w:rPr>
                <w:lang w:val="uk-UA"/>
              </w:rPr>
              <w:t>23</w:t>
            </w:r>
          </w:p>
        </w:tc>
        <w:tc>
          <w:tcPr>
            <w:tcW w:w="1134" w:type="dxa"/>
            <w:shd w:val="clear" w:color="auto" w:fill="auto"/>
            <w:noWrap/>
            <w:vAlign w:val="bottom"/>
          </w:tcPr>
          <w:p w:rsidR="00603C20" w:rsidRPr="00603C20" w:rsidRDefault="001D3A04" w:rsidP="00F83824">
            <w:pPr>
              <w:spacing w:before="60"/>
              <w:jc w:val="right"/>
              <w:rPr>
                <w:lang w:val="uk-UA"/>
              </w:rPr>
            </w:pPr>
            <w:r>
              <w:rPr>
                <w:lang w:val="uk-UA"/>
              </w:rPr>
              <w:t>507</w:t>
            </w:r>
          </w:p>
        </w:tc>
        <w:tc>
          <w:tcPr>
            <w:tcW w:w="1417" w:type="dxa"/>
            <w:shd w:val="clear" w:color="auto" w:fill="auto"/>
            <w:noWrap/>
            <w:vAlign w:val="bottom"/>
          </w:tcPr>
          <w:p w:rsidR="00603C20" w:rsidRPr="00603C20" w:rsidRDefault="001D3A04" w:rsidP="00F83824">
            <w:pPr>
              <w:spacing w:before="60"/>
              <w:jc w:val="right"/>
              <w:rPr>
                <w:lang w:val="uk-UA"/>
              </w:rPr>
            </w:pPr>
            <w:r w:rsidRPr="001D3A04">
              <w:rPr>
                <w:lang w:val="uk-UA"/>
              </w:rPr>
              <w:t>597</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Надійшло</w:t>
            </w:r>
          </w:p>
        </w:tc>
        <w:tc>
          <w:tcPr>
            <w:tcW w:w="2126" w:type="dxa"/>
            <w:shd w:val="clear" w:color="auto" w:fill="auto"/>
            <w:noWrap/>
            <w:vAlign w:val="bottom"/>
          </w:tcPr>
          <w:p w:rsidR="00603C20" w:rsidRPr="00603C20" w:rsidRDefault="001D3A04" w:rsidP="00F83824">
            <w:pPr>
              <w:spacing w:before="60"/>
              <w:jc w:val="right"/>
              <w:rPr>
                <w:lang w:val="uk-UA"/>
              </w:rPr>
            </w:pPr>
            <w:r>
              <w:rPr>
                <w:lang w:val="uk-UA"/>
              </w:rPr>
              <w:t>95</w:t>
            </w:r>
          </w:p>
        </w:tc>
        <w:tc>
          <w:tcPr>
            <w:tcW w:w="1985" w:type="dxa"/>
            <w:shd w:val="clear" w:color="auto" w:fill="auto"/>
          </w:tcPr>
          <w:p w:rsidR="00603C20" w:rsidRPr="00603C20" w:rsidRDefault="001D3A04" w:rsidP="00F83824">
            <w:pPr>
              <w:spacing w:before="60"/>
              <w:jc w:val="right"/>
              <w:rPr>
                <w:lang w:val="uk-UA"/>
              </w:rPr>
            </w:pPr>
            <w:r>
              <w:rPr>
                <w:lang w:val="uk-UA"/>
              </w:rPr>
              <w:t>0</w:t>
            </w:r>
          </w:p>
        </w:tc>
        <w:tc>
          <w:tcPr>
            <w:tcW w:w="1134" w:type="dxa"/>
            <w:shd w:val="clear" w:color="auto" w:fill="auto"/>
            <w:noWrap/>
            <w:vAlign w:val="bottom"/>
          </w:tcPr>
          <w:p w:rsidR="00603C20" w:rsidRPr="00603C20" w:rsidRDefault="001D3A04" w:rsidP="00F83824">
            <w:pPr>
              <w:spacing w:before="60"/>
              <w:jc w:val="right"/>
              <w:rPr>
                <w:lang w:val="uk-UA"/>
              </w:rPr>
            </w:pPr>
            <w:r>
              <w:rPr>
                <w:lang w:val="uk-UA"/>
              </w:rPr>
              <w:t>14</w:t>
            </w:r>
          </w:p>
        </w:tc>
        <w:tc>
          <w:tcPr>
            <w:tcW w:w="1417" w:type="dxa"/>
            <w:shd w:val="clear" w:color="auto" w:fill="auto"/>
            <w:noWrap/>
            <w:vAlign w:val="bottom"/>
          </w:tcPr>
          <w:p w:rsidR="00603C20" w:rsidRPr="00603C20" w:rsidRDefault="001D3A04" w:rsidP="00F83824">
            <w:pPr>
              <w:spacing w:before="60"/>
              <w:jc w:val="right"/>
              <w:rPr>
                <w:lang w:val="uk-UA"/>
              </w:rPr>
            </w:pPr>
            <w:r>
              <w:rPr>
                <w:lang w:val="uk-UA"/>
              </w:rPr>
              <w:t>109</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lastRenderedPageBreak/>
              <w:t>Вибуло</w:t>
            </w:r>
          </w:p>
        </w:tc>
        <w:tc>
          <w:tcPr>
            <w:tcW w:w="2126"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c>
          <w:tcPr>
            <w:tcW w:w="1985" w:type="dxa"/>
            <w:shd w:val="clear" w:color="auto" w:fill="auto"/>
          </w:tcPr>
          <w:p w:rsidR="00603C20" w:rsidRPr="00603C20" w:rsidRDefault="009748E9" w:rsidP="00F83824">
            <w:pPr>
              <w:spacing w:before="60"/>
              <w:jc w:val="right"/>
              <w:rPr>
                <w:lang w:val="uk-UA"/>
              </w:rPr>
            </w:pPr>
            <w:r>
              <w:rPr>
                <w:lang w:val="uk-UA"/>
              </w:rPr>
              <w:t>0</w:t>
            </w:r>
          </w:p>
        </w:tc>
        <w:tc>
          <w:tcPr>
            <w:tcW w:w="1134"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c>
          <w:tcPr>
            <w:tcW w:w="1417" w:type="dxa"/>
            <w:shd w:val="clear" w:color="auto" w:fill="auto"/>
            <w:noWrap/>
            <w:vAlign w:val="bottom"/>
          </w:tcPr>
          <w:p w:rsidR="00603C20" w:rsidRPr="00603C20" w:rsidRDefault="00603C20" w:rsidP="00F83824">
            <w:pPr>
              <w:spacing w:before="60"/>
              <w:jc w:val="right"/>
              <w:rPr>
                <w:lang w:val="uk-UA"/>
              </w:rPr>
            </w:pPr>
            <w:r w:rsidRPr="00603C20">
              <w:rPr>
                <w:lang w:val="uk-UA"/>
              </w:rPr>
              <w:t>0</w:t>
            </w:r>
          </w:p>
        </w:tc>
      </w:tr>
      <w:tr w:rsidR="00603C20" w:rsidRPr="00603C20" w:rsidTr="008243F2">
        <w:trPr>
          <w:trHeight w:val="20"/>
        </w:trPr>
        <w:tc>
          <w:tcPr>
            <w:tcW w:w="2977" w:type="dxa"/>
            <w:shd w:val="clear" w:color="auto" w:fill="auto"/>
            <w:noWrap/>
            <w:vAlign w:val="bottom"/>
          </w:tcPr>
          <w:p w:rsidR="00603C20" w:rsidRPr="00603C20" w:rsidRDefault="001D3A04" w:rsidP="00F83824">
            <w:pPr>
              <w:spacing w:before="60"/>
              <w:ind w:firstLineChars="100" w:firstLine="240"/>
              <w:rPr>
                <w:lang w:val="uk-UA"/>
              </w:rPr>
            </w:pPr>
            <w:r>
              <w:rPr>
                <w:lang w:val="uk-UA"/>
              </w:rPr>
              <w:t>на 31.12.2020</w:t>
            </w:r>
            <w:r w:rsidR="00603C20" w:rsidRPr="00603C20">
              <w:rPr>
                <w:lang w:val="uk-UA"/>
              </w:rPr>
              <w:t xml:space="preserve"> р.</w:t>
            </w:r>
          </w:p>
        </w:tc>
        <w:tc>
          <w:tcPr>
            <w:tcW w:w="2126" w:type="dxa"/>
            <w:shd w:val="clear" w:color="auto" w:fill="auto"/>
            <w:noWrap/>
            <w:vAlign w:val="bottom"/>
          </w:tcPr>
          <w:p w:rsidR="00603C20" w:rsidRPr="0068768B" w:rsidRDefault="001D3A04" w:rsidP="00F83824">
            <w:pPr>
              <w:spacing w:before="60"/>
              <w:jc w:val="right"/>
              <w:rPr>
                <w:lang w:val="uk-UA"/>
              </w:rPr>
            </w:pPr>
            <w:r>
              <w:rPr>
                <w:lang w:val="uk-UA"/>
              </w:rPr>
              <w:t>162</w:t>
            </w:r>
          </w:p>
        </w:tc>
        <w:tc>
          <w:tcPr>
            <w:tcW w:w="1985" w:type="dxa"/>
            <w:shd w:val="clear" w:color="auto" w:fill="auto"/>
          </w:tcPr>
          <w:p w:rsidR="00603C20" w:rsidRPr="0068768B" w:rsidRDefault="009748E9" w:rsidP="00F83824">
            <w:pPr>
              <w:spacing w:before="60"/>
              <w:jc w:val="right"/>
              <w:rPr>
                <w:lang w:val="uk-UA"/>
              </w:rPr>
            </w:pPr>
            <w:r w:rsidRPr="0068768B">
              <w:rPr>
                <w:lang w:val="uk-UA"/>
              </w:rPr>
              <w:t>2</w:t>
            </w:r>
            <w:r w:rsidR="0068768B" w:rsidRPr="0068768B">
              <w:rPr>
                <w:lang w:val="uk-UA"/>
              </w:rPr>
              <w:t>3</w:t>
            </w:r>
          </w:p>
        </w:tc>
        <w:tc>
          <w:tcPr>
            <w:tcW w:w="1134" w:type="dxa"/>
            <w:shd w:val="clear" w:color="auto" w:fill="auto"/>
            <w:noWrap/>
            <w:vAlign w:val="bottom"/>
          </w:tcPr>
          <w:p w:rsidR="00603C20" w:rsidRPr="0068768B" w:rsidRDefault="001D3A04" w:rsidP="00F83824">
            <w:pPr>
              <w:spacing w:before="60"/>
              <w:jc w:val="right"/>
              <w:rPr>
                <w:lang w:val="uk-UA"/>
              </w:rPr>
            </w:pPr>
            <w:r>
              <w:rPr>
                <w:lang w:val="uk-UA"/>
              </w:rPr>
              <w:t>521</w:t>
            </w:r>
          </w:p>
        </w:tc>
        <w:tc>
          <w:tcPr>
            <w:tcW w:w="1417" w:type="dxa"/>
            <w:shd w:val="clear" w:color="auto" w:fill="auto"/>
            <w:noWrap/>
            <w:vAlign w:val="bottom"/>
          </w:tcPr>
          <w:p w:rsidR="00603C20" w:rsidRPr="0068768B" w:rsidRDefault="001D3A04" w:rsidP="00F83824">
            <w:pPr>
              <w:spacing w:before="60"/>
              <w:jc w:val="right"/>
              <w:rPr>
                <w:lang w:val="uk-UA"/>
              </w:rPr>
            </w:pPr>
            <w:r>
              <w:rPr>
                <w:lang w:val="uk-UA"/>
              </w:rPr>
              <w:t>706</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Знос</w:t>
            </w:r>
          </w:p>
        </w:tc>
        <w:tc>
          <w:tcPr>
            <w:tcW w:w="2126" w:type="dxa"/>
            <w:shd w:val="clear" w:color="auto" w:fill="auto"/>
            <w:noWrap/>
            <w:vAlign w:val="bottom"/>
          </w:tcPr>
          <w:p w:rsidR="00603C20" w:rsidRPr="0068768B" w:rsidRDefault="00603C20" w:rsidP="00F83824">
            <w:pPr>
              <w:spacing w:before="60"/>
              <w:jc w:val="right"/>
              <w:rPr>
                <w:lang w:val="uk-UA"/>
              </w:rPr>
            </w:pPr>
          </w:p>
        </w:tc>
        <w:tc>
          <w:tcPr>
            <w:tcW w:w="1985" w:type="dxa"/>
            <w:shd w:val="clear" w:color="auto" w:fill="auto"/>
          </w:tcPr>
          <w:p w:rsidR="00603C20" w:rsidRPr="0068768B" w:rsidRDefault="00603C20" w:rsidP="00F83824">
            <w:pPr>
              <w:spacing w:before="60"/>
              <w:jc w:val="right"/>
              <w:rPr>
                <w:lang w:val="uk-UA"/>
              </w:rPr>
            </w:pPr>
          </w:p>
        </w:tc>
        <w:tc>
          <w:tcPr>
            <w:tcW w:w="1134" w:type="dxa"/>
            <w:shd w:val="clear" w:color="auto" w:fill="auto"/>
            <w:noWrap/>
            <w:vAlign w:val="bottom"/>
          </w:tcPr>
          <w:p w:rsidR="00603C20" w:rsidRPr="0068768B" w:rsidRDefault="00603C20" w:rsidP="00F83824">
            <w:pPr>
              <w:spacing w:before="60"/>
              <w:jc w:val="right"/>
              <w:rPr>
                <w:lang w:val="uk-UA"/>
              </w:rPr>
            </w:pPr>
          </w:p>
        </w:tc>
        <w:tc>
          <w:tcPr>
            <w:tcW w:w="1417" w:type="dxa"/>
            <w:shd w:val="clear" w:color="auto" w:fill="auto"/>
            <w:noWrap/>
            <w:vAlign w:val="bottom"/>
          </w:tcPr>
          <w:p w:rsidR="00603C20" w:rsidRPr="0068768B" w:rsidRDefault="00603C20" w:rsidP="00F83824">
            <w:pPr>
              <w:spacing w:before="60"/>
              <w:jc w:val="right"/>
              <w:rPr>
                <w:lang w:val="uk-UA"/>
              </w:rPr>
            </w:pPr>
          </w:p>
        </w:tc>
      </w:tr>
      <w:tr w:rsidR="00603C20" w:rsidRPr="00603C20" w:rsidTr="008243F2">
        <w:trPr>
          <w:trHeight w:val="20"/>
        </w:trPr>
        <w:tc>
          <w:tcPr>
            <w:tcW w:w="2977" w:type="dxa"/>
            <w:shd w:val="clear" w:color="auto" w:fill="auto"/>
            <w:noWrap/>
            <w:vAlign w:val="bottom"/>
          </w:tcPr>
          <w:p w:rsidR="00603C20" w:rsidRPr="00603C20" w:rsidRDefault="001D3A04" w:rsidP="00F83824">
            <w:pPr>
              <w:spacing w:before="60"/>
              <w:ind w:firstLineChars="100" w:firstLine="240"/>
              <w:rPr>
                <w:lang w:val="uk-UA"/>
              </w:rPr>
            </w:pPr>
            <w:r>
              <w:rPr>
                <w:lang w:val="uk-UA"/>
              </w:rPr>
              <w:t>на 01.01.2020</w:t>
            </w:r>
            <w:r w:rsidR="00603C20" w:rsidRPr="00603C20">
              <w:rPr>
                <w:lang w:val="uk-UA"/>
              </w:rPr>
              <w:t xml:space="preserve"> р.</w:t>
            </w:r>
          </w:p>
        </w:tc>
        <w:tc>
          <w:tcPr>
            <w:tcW w:w="2126" w:type="dxa"/>
            <w:shd w:val="clear" w:color="auto" w:fill="auto"/>
            <w:noWrap/>
            <w:vAlign w:val="bottom"/>
          </w:tcPr>
          <w:p w:rsidR="00603C20" w:rsidRPr="0068768B" w:rsidRDefault="00402FAE" w:rsidP="00F83824">
            <w:pPr>
              <w:spacing w:before="60"/>
              <w:jc w:val="right"/>
              <w:rPr>
                <w:lang w:val="uk-UA"/>
              </w:rPr>
            </w:pPr>
            <w:r>
              <w:rPr>
                <w:lang w:val="uk-UA"/>
              </w:rPr>
              <w:t>64</w:t>
            </w:r>
          </w:p>
        </w:tc>
        <w:tc>
          <w:tcPr>
            <w:tcW w:w="1985" w:type="dxa"/>
            <w:shd w:val="clear" w:color="auto" w:fill="auto"/>
          </w:tcPr>
          <w:p w:rsidR="00603C20" w:rsidRPr="0068768B" w:rsidRDefault="00D0650A" w:rsidP="00F83824">
            <w:pPr>
              <w:spacing w:before="60"/>
              <w:jc w:val="right"/>
              <w:rPr>
                <w:lang w:val="uk-UA"/>
              </w:rPr>
            </w:pPr>
            <w:r>
              <w:rPr>
                <w:lang w:val="uk-UA"/>
              </w:rPr>
              <w:t>0</w:t>
            </w:r>
          </w:p>
        </w:tc>
        <w:tc>
          <w:tcPr>
            <w:tcW w:w="1134" w:type="dxa"/>
            <w:shd w:val="clear" w:color="auto" w:fill="auto"/>
            <w:noWrap/>
            <w:vAlign w:val="bottom"/>
          </w:tcPr>
          <w:p w:rsidR="00603C20" w:rsidRPr="0068768B" w:rsidRDefault="00D0650A" w:rsidP="00F83824">
            <w:pPr>
              <w:spacing w:before="60"/>
              <w:jc w:val="right"/>
              <w:rPr>
                <w:lang w:val="uk-UA"/>
              </w:rPr>
            </w:pPr>
            <w:r>
              <w:rPr>
                <w:lang w:val="uk-UA"/>
              </w:rPr>
              <w:t>507</w:t>
            </w:r>
          </w:p>
        </w:tc>
        <w:tc>
          <w:tcPr>
            <w:tcW w:w="1417" w:type="dxa"/>
            <w:shd w:val="clear" w:color="auto" w:fill="auto"/>
            <w:noWrap/>
            <w:vAlign w:val="bottom"/>
          </w:tcPr>
          <w:p w:rsidR="00603C20" w:rsidRPr="0068768B" w:rsidRDefault="00107892" w:rsidP="00F83824">
            <w:pPr>
              <w:spacing w:before="60"/>
              <w:jc w:val="right"/>
              <w:rPr>
                <w:lang w:val="uk-UA"/>
              </w:rPr>
            </w:pPr>
            <w:r>
              <w:rPr>
                <w:lang w:val="uk-UA"/>
              </w:rPr>
              <w:t>571</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Нараховано</w:t>
            </w:r>
          </w:p>
        </w:tc>
        <w:tc>
          <w:tcPr>
            <w:tcW w:w="2126" w:type="dxa"/>
            <w:shd w:val="clear" w:color="auto" w:fill="auto"/>
            <w:noWrap/>
            <w:vAlign w:val="bottom"/>
          </w:tcPr>
          <w:p w:rsidR="00603C20" w:rsidRPr="0068768B" w:rsidRDefault="00402FAE" w:rsidP="00F83824">
            <w:pPr>
              <w:spacing w:before="60"/>
              <w:jc w:val="right"/>
              <w:rPr>
                <w:lang w:val="uk-UA"/>
              </w:rPr>
            </w:pPr>
            <w:r>
              <w:rPr>
                <w:lang w:val="uk-UA"/>
              </w:rPr>
              <w:t>45</w:t>
            </w:r>
          </w:p>
        </w:tc>
        <w:tc>
          <w:tcPr>
            <w:tcW w:w="1985" w:type="dxa"/>
            <w:shd w:val="clear" w:color="auto" w:fill="auto"/>
          </w:tcPr>
          <w:p w:rsidR="00603C20" w:rsidRPr="0068768B" w:rsidRDefault="00D0650A" w:rsidP="00F83824">
            <w:pPr>
              <w:spacing w:before="60"/>
              <w:jc w:val="right"/>
              <w:rPr>
                <w:lang w:val="uk-UA"/>
              </w:rPr>
            </w:pPr>
            <w:r>
              <w:rPr>
                <w:lang w:val="uk-UA"/>
              </w:rPr>
              <w:t>6</w:t>
            </w:r>
          </w:p>
        </w:tc>
        <w:tc>
          <w:tcPr>
            <w:tcW w:w="1134" w:type="dxa"/>
            <w:shd w:val="clear" w:color="auto" w:fill="auto"/>
            <w:noWrap/>
            <w:vAlign w:val="bottom"/>
          </w:tcPr>
          <w:p w:rsidR="00603C20" w:rsidRPr="0068768B" w:rsidRDefault="00D0650A" w:rsidP="00F83824">
            <w:pPr>
              <w:spacing w:before="60"/>
              <w:jc w:val="right"/>
              <w:rPr>
                <w:lang w:val="uk-UA"/>
              </w:rPr>
            </w:pPr>
            <w:r>
              <w:rPr>
                <w:lang w:val="uk-UA"/>
              </w:rPr>
              <w:t>14</w:t>
            </w:r>
          </w:p>
        </w:tc>
        <w:tc>
          <w:tcPr>
            <w:tcW w:w="1417" w:type="dxa"/>
            <w:shd w:val="clear" w:color="auto" w:fill="auto"/>
            <w:noWrap/>
            <w:vAlign w:val="bottom"/>
          </w:tcPr>
          <w:p w:rsidR="00603C20" w:rsidRPr="0068768B" w:rsidRDefault="00107892" w:rsidP="00F83824">
            <w:pPr>
              <w:spacing w:before="60"/>
              <w:jc w:val="right"/>
              <w:rPr>
                <w:lang w:val="uk-UA"/>
              </w:rPr>
            </w:pPr>
            <w:r>
              <w:rPr>
                <w:lang w:val="uk-UA"/>
              </w:rPr>
              <w:t>65</w:t>
            </w:r>
          </w:p>
        </w:tc>
      </w:tr>
      <w:tr w:rsidR="00603C20" w:rsidRPr="00603C20" w:rsidTr="008243F2">
        <w:trPr>
          <w:trHeight w:val="20"/>
        </w:trPr>
        <w:tc>
          <w:tcPr>
            <w:tcW w:w="2977" w:type="dxa"/>
            <w:shd w:val="clear" w:color="auto" w:fill="auto"/>
            <w:noWrap/>
            <w:vAlign w:val="bottom"/>
          </w:tcPr>
          <w:p w:rsidR="00603C20" w:rsidRPr="00603C20" w:rsidRDefault="00603C20" w:rsidP="00F83824">
            <w:pPr>
              <w:spacing w:before="60"/>
              <w:ind w:firstLineChars="200" w:firstLine="480"/>
              <w:rPr>
                <w:lang w:val="uk-UA"/>
              </w:rPr>
            </w:pPr>
            <w:r w:rsidRPr="00603C20">
              <w:rPr>
                <w:lang w:val="uk-UA"/>
              </w:rPr>
              <w:t>Вибуло</w:t>
            </w:r>
          </w:p>
        </w:tc>
        <w:tc>
          <w:tcPr>
            <w:tcW w:w="2126" w:type="dxa"/>
            <w:shd w:val="clear" w:color="auto" w:fill="auto"/>
            <w:noWrap/>
            <w:vAlign w:val="bottom"/>
          </w:tcPr>
          <w:p w:rsidR="00603C20" w:rsidRPr="0068768B" w:rsidRDefault="00603C20" w:rsidP="00F83824">
            <w:pPr>
              <w:spacing w:before="60"/>
              <w:jc w:val="right"/>
              <w:rPr>
                <w:lang w:val="uk-UA"/>
              </w:rPr>
            </w:pPr>
            <w:r w:rsidRPr="0068768B">
              <w:rPr>
                <w:lang w:val="uk-UA"/>
              </w:rPr>
              <w:t>0</w:t>
            </w:r>
          </w:p>
        </w:tc>
        <w:tc>
          <w:tcPr>
            <w:tcW w:w="1985" w:type="dxa"/>
            <w:shd w:val="clear" w:color="auto" w:fill="auto"/>
          </w:tcPr>
          <w:p w:rsidR="00603C20" w:rsidRPr="0068768B" w:rsidRDefault="009748E9" w:rsidP="00F83824">
            <w:pPr>
              <w:spacing w:before="60"/>
              <w:jc w:val="right"/>
              <w:rPr>
                <w:lang w:val="uk-UA"/>
              </w:rPr>
            </w:pPr>
            <w:r w:rsidRPr="0068768B">
              <w:rPr>
                <w:lang w:val="uk-UA"/>
              </w:rPr>
              <w:t>0</w:t>
            </w:r>
          </w:p>
        </w:tc>
        <w:tc>
          <w:tcPr>
            <w:tcW w:w="1134" w:type="dxa"/>
            <w:shd w:val="clear" w:color="auto" w:fill="auto"/>
            <w:noWrap/>
            <w:vAlign w:val="bottom"/>
          </w:tcPr>
          <w:p w:rsidR="00603C20" w:rsidRPr="0068768B" w:rsidRDefault="00603C20" w:rsidP="00F83824">
            <w:pPr>
              <w:spacing w:before="60"/>
              <w:jc w:val="right"/>
              <w:rPr>
                <w:lang w:val="uk-UA"/>
              </w:rPr>
            </w:pPr>
            <w:r w:rsidRPr="0068768B">
              <w:rPr>
                <w:lang w:val="uk-UA"/>
              </w:rPr>
              <w:t>0</w:t>
            </w:r>
          </w:p>
        </w:tc>
        <w:tc>
          <w:tcPr>
            <w:tcW w:w="1417" w:type="dxa"/>
            <w:shd w:val="clear" w:color="auto" w:fill="auto"/>
            <w:noWrap/>
            <w:vAlign w:val="bottom"/>
          </w:tcPr>
          <w:p w:rsidR="00603C20" w:rsidRPr="0068768B" w:rsidRDefault="00603C20" w:rsidP="00F83824">
            <w:pPr>
              <w:spacing w:before="60"/>
              <w:jc w:val="right"/>
              <w:rPr>
                <w:lang w:val="uk-UA"/>
              </w:rPr>
            </w:pPr>
            <w:r w:rsidRPr="0068768B">
              <w:rPr>
                <w:lang w:val="uk-UA"/>
              </w:rPr>
              <w:t>0</w:t>
            </w:r>
          </w:p>
        </w:tc>
      </w:tr>
      <w:tr w:rsidR="00603C20" w:rsidRPr="00603C20" w:rsidTr="008243F2">
        <w:trPr>
          <w:trHeight w:val="20"/>
        </w:trPr>
        <w:tc>
          <w:tcPr>
            <w:tcW w:w="2977" w:type="dxa"/>
            <w:shd w:val="clear" w:color="auto" w:fill="auto"/>
            <w:noWrap/>
            <w:vAlign w:val="bottom"/>
          </w:tcPr>
          <w:p w:rsidR="00603C20" w:rsidRPr="00603C20" w:rsidRDefault="001D3A04" w:rsidP="00F83824">
            <w:pPr>
              <w:spacing w:before="60"/>
              <w:ind w:firstLineChars="100" w:firstLine="240"/>
              <w:rPr>
                <w:lang w:val="uk-UA"/>
              </w:rPr>
            </w:pPr>
            <w:r>
              <w:rPr>
                <w:lang w:val="uk-UA"/>
              </w:rPr>
              <w:t>на 31.12.2020</w:t>
            </w:r>
            <w:r w:rsidR="00603C20" w:rsidRPr="00603C20">
              <w:rPr>
                <w:lang w:val="uk-UA"/>
              </w:rPr>
              <w:t xml:space="preserve"> р.</w:t>
            </w:r>
          </w:p>
        </w:tc>
        <w:tc>
          <w:tcPr>
            <w:tcW w:w="2126" w:type="dxa"/>
            <w:shd w:val="clear" w:color="auto" w:fill="auto"/>
            <w:noWrap/>
            <w:vAlign w:val="bottom"/>
          </w:tcPr>
          <w:p w:rsidR="00603C20" w:rsidRPr="0068768B" w:rsidRDefault="00402FAE" w:rsidP="00F83824">
            <w:pPr>
              <w:spacing w:before="60"/>
              <w:jc w:val="right"/>
              <w:rPr>
                <w:lang w:val="uk-UA"/>
              </w:rPr>
            </w:pPr>
            <w:r>
              <w:rPr>
                <w:lang w:val="uk-UA"/>
              </w:rPr>
              <w:t>109</w:t>
            </w:r>
          </w:p>
        </w:tc>
        <w:tc>
          <w:tcPr>
            <w:tcW w:w="1985" w:type="dxa"/>
            <w:shd w:val="clear" w:color="auto" w:fill="auto"/>
          </w:tcPr>
          <w:p w:rsidR="00603C20" w:rsidRPr="0068768B" w:rsidRDefault="00D0650A" w:rsidP="00F83824">
            <w:pPr>
              <w:spacing w:before="60"/>
              <w:jc w:val="right"/>
              <w:rPr>
                <w:lang w:val="uk-UA"/>
              </w:rPr>
            </w:pPr>
            <w:r>
              <w:rPr>
                <w:lang w:val="uk-UA"/>
              </w:rPr>
              <w:t>6</w:t>
            </w:r>
          </w:p>
        </w:tc>
        <w:tc>
          <w:tcPr>
            <w:tcW w:w="1134" w:type="dxa"/>
            <w:shd w:val="clear" w:color="auto" w:fill="auto"/>
            <w:noWrap/>
            <w:vAlign w:val="bottom"/>
          </w:tcPr>
          <w:p w:rsidR="00603C20" w:rsidRPr="0068768B" w:rsidRDefault="00D0650A" w:rsidP="00F83824">
            <w:pPr>
              <w:spacing w:before="60"/>
              <w:jc w:val="right"/>
              <w:rPr>
                <w:lang w:val="uk-UA"/>
              </w:rPr>
            </w:pPr>
            <w:r>
              <w:rPr>
                <w:lang w:val="uk-UA"/>
              </w:rPr>
              <w:t>521</w:t>
            </w:r>
          </w:p>
        </w:tc>
        <w:tc>
          <w:tcPr>
            <w:tcW w:w="1417" w:type="dxa"/>
            <w:shd w:val="clear" w:color="auto" w:fill="auto"/>
            <w:noWrap/>
            <w:vAlign w:val="bottom"/>
          </w:tcPr>
          <w:p w:rsidR="00603C20" w:rsidRPr="0068768B" w:rsidRDefault="00D0650A" w:rsidP="00F83824">
            <w:pPr>
              <w:spacing w:before="60"/>
              <w:jc w:val="right"/>
              <w:rPr>
                <w:lang w:val="uk-UA"/>
              </w:rPr>
            </w:pPr>
            <w:r>
              <w:rPr>
                <w:lang w:val="uk-UA"/>
              </w:rPr>
              <w:t>636</w:t>
            </w:r>
          </w:p>
        </w:tc>
      </w:tr>
      <w:tr w:rsidR="00603C20" w:rsidRPr="00603C20" w:rsidTr="008243F2">
        <w:trPr>
          <w:trHeight w:val="267"/>
        </w:trPr>
        <w:tc>
          <w:tcPr>
            <w:tcW w:w="2977" w:type="dxa"/>
            <w:shd w:val="clear" w:color="auto" w:fill="auto"/>
            <w:noWrap/>
            <w:vAlign w:val="bottom"/>
          </w:tcPr>
          <w:p w:rsidR="00603C20" w:rsidRPr="00603C20" w:rsidRDefault="00603C20" w:rsidP="00F83824">
            <w:pPr>
              <w:spacing w:before="60"/>
              <w:rPr>
                <w:b/>
                <w:bCs/>
                <w:lang w:val="uk-UA"/>
              </w:rPr>
            </w:pPr>
            <w:r w:rsidRPr="00603C20">
              <w:rPr>
                <w:b/>
                <w:bCs/>
                <w:lang w:val="uk-UA"/>
              </w:rPr>
              <w:t>Балансова вартість:</w:t>
            </w:r>
          </w:p>
        </w:tc>
        <w:tc>
          <w:tcPr>
            <w:tcW w:w="2126" w:type="dxa"/>
            <w:shd w:val="clear" w:color="auto" w:fill="auto"/>
            <w:noWrap/>
            <w:vAlign w:val="bottom"/>
          </w:tcPr>
          <w:p w:rsidR="00603C20" w:rsidRPr="0068768B" w:rsidRDefault="00603C20" w:rsidP="00F83824">
            <w:pPr>
              <w:spacing w:before="60"/>
              <w:jc w:val="right"/>
              <w:rPr>
                <w:lang w:val="uk-UA"/>
              </w:rPr>
            </w:pPr>
          </w:p>
        </w:tc>
        <w:tc>
          <w:tcPr>
            <w:tcW w:w="1985" w:type="dxa"/>
            <w:shd w:val="clear" w:color="auto" w:fill="auto"/>
          </w:tcPr>
          <w:p w:rsidR="00603C20" w:rsidRPr="0068768B" w:rsidRDefault="00603C20" w:rsidP="00F83824">
            <w:pPr>
              <w:spacing w:before="60"/>
              <w:jc w:val="right"/>
              <w:rPr>
                <w:lang w:val="uk-UA"/>
              </w:rPr>
            </w:pPr>
          </w:p>
        </w:tc>
        <w:tc>
          <w:tcPr>
            <w:tcW w:w="1134" w:type="dxa"/>
            <w:shd w:val="clear" w:color="auto" w:fill="auto"/>
            <w:noWrap/>
            <w:vAlign w:val="bottom"/>
          </w:tcPr>
          <w:p w:rsidR="00603C20" w:rsidRPr="0068768B" w:rsidRDefault="00603C20" w:rsidP="00F83824">
            <w:pPr>
              <w:spacing w:before="60"/>
              <w:jc w:val="right"/>
              <w:rPr>
                <w:lang w:val="uk-UA"/>
              </w:rPr>
            </w:pPr>
          </w:p>
        </w:tc>
        <w:tc>
          <w:tcPr>
            <w:tcW w:w="1417" w:type="dxa"/>
            <w:shd w:val="clear" w:color="auto" w:fill="auto"/>
            <w:noWrap/>
            <w:vAlign w:val="bottom"/>
          </w:tcPr>
          <w:p w:rsidR="00603C20" w:rsidRPr="0068768B" w:rsidRDefault="00603C20" w:rsidP="00F83824">
            <w:pPr>
              <w:spacing w:before="60"/>
              <w:jc w:val="right"/>
              <w:rPr>
                <w:lang w:val="uk-UA"/>
              </w:rPr>
            </w:pPr>
          </w:p>
        </w:tc>
      </w:tr>
      <w:tr w:rsidR="00107892" w:rsidRPr="00603C20" w:rsidTr="008243F2">
        <w:trPr>
          <w:trHeight w:val="20"/>
        </w:trPr>
        <w:tc>
          <w:tcPr>
            <w:tcW w:w="2977" w:type="dxa"/>
            <w:shd w:val="clear" w:color="auto" w:fill="auto"/>
            <w:noWrap/>
            <w:vAlign w:val="bottom"/>
          </w:tcPr>
          <w:p w:rsidR="00107892" w:rsidRPr="00603C20" w:rsidRDefault="00107892" w:rsidP="00107892">
            <w:pPr>
              <w:spacing w:before="60"/>
              <w:rPr>
                <w:b/>
                <w:bCs/>
                <w:lang w:val="uk-UA"/>
              </w:rPr>
            </w:pPr>
            <w:r>
              <w:rPr>
                <w:b/>
                <w:bCs/>
                <w:lang w:val="uk-UA"/>
              </w:rPr>
              <w:t>на 01.01.2020</w:t>
            </w:r>
            <w:r w:rsidRPr="00603C20">
              <w:rPr>
                <w:b/>
                <w:bCs/>
                <w:lang w:val="uk-UA"/>
              </w:rPr>
              <w:t xml:space="preserve"> р.</w:t>
            </w:r>
          </w:p>
        </w:tc>
        <w:tc>
          <w:tcPr>
            <w:tcW w:w="2126" w:type="dxa"/>
            <w:shd w:val="clear" w:color="auto" w:fill="auto"/>
            <w:noWrap/>
            <w:vAlign w:val="bottom"/>
          </w:tcPr>
          <w:p w:rsidR="00107892" w:rsidRPr="0068768B" w:rsidRDefault="00107892" w:rsidP="00107892">
            <w:pPr>
              <w:spacing w:before="60"/>
              <w:jc w:val="right"/>
              <w:rPr>
                <w:b/>
                <w:lang w:val="uk-UA"/>
              </w:rPr>
            </w:pPr>
            <w:r w:rsidRPr="0068768B">
              <w:rPr>
                <w:b/>
                <w:lang w:val="uk-UA"/>
              </w:rPr>
              <w:t>10</w:t>
            </w:r>
          </w:p>
        </w:tc>
        <w:tc>
          <w:tcPr>
            <w:tcW w:w="1985" w:type="dxa"/>
            <w:shd w:val="clear" w:color="auto" w:fill="auto"/>
          </w:tcPr>
          <w:p w:rsidR="00107892" w:rsidRPr="0068768B" w:rsidRDefault="00107892" w:rsidP="00107892">
            <w:pPr>
              <w:spacing w:before="60"/>
              <w:jc w:val="right"/>
              <w:rPr>
                <w:b/>
                <w:lang w:val="uk-UA"/>
              </w:rPr>
            </w:pPr>
            <w:r w:rsidRPr="0068768B">
              <w:rPr>
                <w:b/>
                <w:lang w:val="uk-UA"/>
              </w:rPr>
              <w:t>16</w:t>
            </w:r>
          </w:p>
        </w:tc>
        <w:tc>
          <w:tcPr>
            <w:tcW w:w="1134" w:type="dxa"/>
            <w:shd w:val="clear" w:color="auto" w:fill="auto"/>
            <w:noWrap/>
            <w:vAlign w:val="bottom"/>
          </w:tcPr>
          <w:p w:rsidR="00107892" w:rsidRPr="0068768B" w:rsidRDefault="00107892" w:rsidP="00107892">
            <w:pPr>
              <w:spacing w:before="60"/>
              <w:jc w:val="right"/>
              <w:rPr>
                <w:b/>
                <w:lang w:val="uk-UA"/>
              </w:rPr>
            </w:pPr>
            <w:r w:rsidRPr="0068768B">
              <w:rPr>
                <w:b/>
                <w:lang w:val="uk-UA"/>
              </w:rPr>
              <w:t>0</w:t>
            </w:r>
          </w:p>
        </w:tc>
        <w:tc>
          <w:tcPr>
            <w:tcW w:w="1417" w:type="dxa"/>
            <w:shd w:val="clear" w:color="auto" w:fill="auto"/>
            <w:noWrap/>
            <w:vAlign w:val="bottom"/>
          </w:tcPr>
          <w:p w:rsidR="00107892" w:rsidRPr="0068768B" w:rsidRDefault="00107892" w:rsidP="00107892">
            <w:pPr>
              <w:spacing w:before="60"/>
              <w:jc w:val="right"/>
              <w:rPr>
                <w:b/>
                <w:lang w:val="uk-UA"/>
              </w:rPr>
            </w:pPr>
            <w:r w:rsidRPr="0068768B">
              <w:rPr>
                <w:b/>
                <w:lang w:val="uk-UA"/>
              </w:rPr>
              <w:t>26</w:t>
            </w:r>
          </w:p>
        </w:tc>
      </w:tr>
      <w:tr w:rsidR="0068768B" w:rsidRPr="00603C20" w:rsidTr="008243F2">
        <w:trPr>
          <w:trHeight w:val="20"/>
        </w:trPr>
        <w:tc>
          <w:tcPr>
            <w:tcW w:w="2977" w:type="dxa"/>
            <w:shd w:val="clear" w:color="auto" w:fill="auto"/>
            <w:noWrap/>
            <w:vAlign w:val="bottom"/>
          </w:tcPr>
          <w:p w:rsidR="0068768B" w:rsidRPr="00603C20" w:rsidRDefault="00107892" w:rsidP="0068768B">
            <w:pPr>
              <w:spacing w:before="60"/>
              <w:rPr>
                <w:b/>
                <w:bCs/>
                <w:lang w:val="uk-UA"/>
              </w:rPr>
            </w:pPr>
            <w:r>
              <w:rPr>
                <w:b/>
                <w:bCs/>
                <w:lang w:val="uk-UA"/>
              </w:rPr>
              <w:t>на 31.12.2020</w:t>
            </w:r>
            <w:r w:rsidR="0068768B" w:rsidRPr="00603C20">
              <w:rPr>
                <w:b/>
                <w:bCs/>
                <w:lang w:val="uk-UA"/>
              </w:rPr>
              <w:t xml:space="preserve"> р.</w:t>
            </w:r>
          </w:p>
        </w:tc>
        <w:tc>
          <w:tcPr>
            <w:tcW w:w="2126" w:type="dxa"/>
            <w:shd w:val="clear" w:color="auto" w:fill="auto"/>
            <w:noWrap/>
            <w:vAlign w:val="bottom"/>
          </w:tcPr>
          <w:p w:rsidR="0068768B" w:rsidRPr="0068768B" w:rsidRDefault="00380065" w:rsidP="0068768B">
            <w:pPr>
              <w:spacing w:before="60"/>
              <w:jc w:val="right"/>
              <w:rPr>
                <w:b/>
                <w:lang w:val="uk-UA"/>
              </w:rPr>
            </w:pPr>
            <w:r>
              <w:rPr>
                <w:b/>
                <w:lang w:val="uk-UA"/>
              </w:rPr>
              <w:t>71</w:t>
            </w:r>
          </w:p>
        </w:tc>
        <w:tc>
          <w:tcPr>
            <w:tcW w:w="1985" w:type="dxa"/>
            <w:shd w:val="clear" w:color="auto" w:fill="auto"/>
          </w:tcPr>
          <w:p w:rsidR="0068768B" w:rsidRPr="0068768B" w:rsidRDefault="002E5EA7" w:rsidP="0068768B">
            <w:pPr>
              <w:spacing w:before="60"/>
              <w:jc w:val="right"/>
              <w:rPr>
                <w:b/>
                <w:lang w:val="uk-UA"/>
              </w:rPr>
            </w:pPr>
            <w:r>
              <w:rPr>
                <w:b/>
                <w:lang w:val="uk-UA"/>
              </w:rPr>
              <w:t>0</w:t>
            </w:r>
          </w:p>
        </w:tc>
        <w:tc>
          <w:tcPr>
            <w:tcW w:w="1134" w:type="dxa"/>
            <w:shd w:val="clear" w:color="auto" w:fill="auto"/>
            <w:noWrap/>
            <w:vAlign w:val="bottom"/>
          </w:tcPr>
          <w:p w:rsidR="0068768B" w:rsidRPr="0068768B" w:rsidRDefault="0068768B" w:rsidP="0068768B">
            <w:pPr>
              <w:spacing w:before="60"/>
              <w:jc w:val="right"/>
              <w:rPr>
                <w:b/>
                <w:lang w:val="uk-UA"/>
              </w:rPr>
            </w:pPr>
            <w:r w:rsidRPr="0068768B">
              <w:rPr>
                <w:b/>
                <w:lang w:val="uk-UA"/>
              </w:rPr>
              <w:t>0</w:t>
            </w:r>
          </w:p>
        </w:tc>
        <w:tc>
          <w:tcPr>
            <w:tcW w:w="1417" w:type="dxa"/>
            <w:shd w:val="clear" w:color="auto" w:fill="auto"/>
            <w:noWrap/>
            <w:vAlign w:val="bottom"/>
          </w:tcPr>
          <w:p w:rsidR="0068768B" w:rsidRPr="0068768B" w:rsidRDefault="00380065" w:rsidP="0068768B">
            <w:pPr>
              <w:spacing w:before="60"/>
              <w:jc w:val="right"/>
              <w:rPr>
                <w:b/>
                <w:lang w:val="uk-UA"/>
              </w:rPr>
            </w:pPr>
            <w:r>
              <w:rPr>
                <w:b/>
                <w:lang w:val="uk-UA"/>
              </w:rPr>
              <w:t>71</w:t>
            </w:r>
          </w:p>
        </w:tc>
      </w:tr>
    </w:tbl>
    <w:p w:rsidR="00603C20" w:rsidRPr="00603C20" w:rsidRDefault="0068768B" w:rsidP="00603C20">
      <w:pPr>
        <w:spacing w:before="60"/>
        <w:ind w:firstLine="709"/>
        <w:jc w:val="both"/>
        <w:rPr>
          <w:rStyle w:val="hps"/>
          <w:lang w:val="uk-UA"/>
        </w:rPr>
      </w:pPr>
      <w:r>
        <w:rPr>
          <w:rStyle w:val="hps"/>
          <w:lang w:val="uk-UA"/>
        </w:rPr>
        <w:t>Товариство не проводило</w:t>
      </w:r>
      <w:r w:rsidR="00603C20" w:rsidRPr="00603C20">
        <w:rPr>
          <w:rStyle w:val="hps"/>
          <w:lang w:val="uk-UA"/>
        </w:rPr>
        <w:t xml:space="preserve"> переоцінку основ</w:t>
      </w:r>
      <w:r w:rsidR="00107892">
        <w:rPr>
          <w:rStyle w:val="hps"/>
          <w:lang w:val="uk-UA"/>
        </w:rPr>
        <w:t>них засобів станом на 31.12.2020</w:t>
      </w:r>
      <w:r w:rsidR="00603C20" w:rsidRPr="00603C20">
        <w:rPr>
          <w:rStyle w:val="hps"/>
          <w:lang w:val="uk-UA"/>
        </w:rPr>
        <w:t xml:space="preserve"> року. На звітну дату основні засоби не були надані у будь-яку заставу та не обмежені у розпорядженні та використанні Товариством.</w:t>
      </w:r>
    </w:p>
    <w:p w:rsidR="00603C20" w:rsidRDefault="00603C20" w:rsidP="00603C20">
      <w:pPr>
        <w:spacing w:before="60"/>
        <w:ind w:firstLine="709"/>
        <w:jc w:val="both"/>
        <w:rPr>
          <w:rStyle w:val="hps"/>
          <w:lang w:val="uk-UA"/>
        </w:rPr>
      </w:pPr>
      <w:r w:rsidRPr="00603C20">
        <w:rPr>
          <w:rStyle w:val="hps"/>
          <w:lang w:val="uk-UA"/>
        </w:rPr>
        <w:t>Основні засоби, що тимчасово не вик</w:t>
      </w:r>
      <w:r w:rsidR="00107892">
        <w:rPr>
          <w:rStyle w:val="hps"/>
          <w:lang w:val="uk-UA"/>
        </w:rPr>
        <w:t>ористовуються, на 31 грудня 2020</w:t>
      </w:r>
      <w:r w:rsidRPr="00603C20">
        <w:rPr>
          <w:rStyle w:val="hps"/>
          <w:lang w:val="uk-UA"/>
        </w:rPr>
        <w:t xml:space="preserve"> року  відсутні. </w:t>
      </w:r>
    </w:p>
    <w:p w:rsidR="00616C7B" w:rsidRDefault="00616C7B" w:rsidP="00D6403C">
      <w:pPr>
        <w:autoSpaceDE w:val="0"/>
        <w:autoSpaceDN w:val="0"/>
        <w:adjustRightInd w:val="0"/>
        <w:jc w:val="both"/>
        <w:rPr>
          <w:b/>
          <w:bCs/>
          <w:i/>
          <w:iCs/>
          <w:lang w:val="uk-UA" w:eastAsia="en-US"/>
        </w:rPr>
      </w:pPr>
    </w:p>
    <w:p w:rsidR="00D6403C" w:rsidRPr="00364F22" w:rsidRDefault="00D6403C" w:rsidP="00D6403C">
      <w:pPr>
        <w:autoSpaceDE w:val="0"/>
        <w:autoSpaceDN w:val="0"/>
        <w:adjustRightInd w:val="0"/>
        <w:jc w:val="both"/>
        <w:rPr>
          <w:b/>
          <w:bCs/>
          <w:i/>
          <w:iCs/>
          <w:lang w:val="uk-UA" w:eastAsia="en-US"/>
        </w:rPr>
      </w:pPr>
      <w:r w:rsidRPr="00364F22">
        <w:rPr>
          <w:b/>
          <w:bCs/>
          <w:i/>
          <w:iCs/>
          <w:lang w:val="uk-UA" w:eastAsia="en-US"/>
        </w:rPr>
        <w:t>Грошові кошти та їх еквіваленти.</w:t>
      </w:r>
    </w:p>
    <w:p w:rsidR="00D6403C" w:rsidRPr="00364F22" w:rsidRDefault="00D6403C" w:rsidP="005E41F3">
      <w:pPr>
        <w:autoSpaceDE w:val="0"/>
        <w:autoSpaceDN w:val="0"/>
        <w:adjustRightInd w:val="0"/>
        <w:jc w:val="both"/>
        <w:rPr>
          <w:bCs/>
          <w:iCs/>
          <w:lang w:val="uk-UA" w:eastAsia="en-US"/>
        </w:rPr>
      </w:pPr>
      <w:r w:rsidRPr="00364F22">
        <w:rPr>
          <w:bCs/>
          <w:iCs/>
          <w:lang w:val="uk-UA" w:eastAsia="en-US"/>
        </w:rPr>
        <w:t>Станом на 31 грудня грошові кошти та їх еквіваленти мали наступну структуру:</w:t>
      </w:r>
    </w:p>
    <w:p w:rsidR="00364F22" w:rsidRPr="00F66B25" w:rsidRDefault="00364F22" w:rsidP="005E41F3">
      <w:pPr>
        <w:autoSpaceDE w:val="0"/>
        <w:autoSpaceDN w:val="0"/>
        <w:adjustRightInd w:val="0"/>
        <w:jc w:val="right"/>
        <w:rPr>
          <w:bCs/>
          <w:iCs/>
          <w:sz w:val="22"/>
          <w:szCs w:val="22"/>
          <w:lang w:val="uk-UA" w:eastAsia="en-US"/>
        </w:rPr>
      </w:pPr>
      <w:r w:rsidRPr="00F66B25">
        <w:rPr>
          <w:bCs/>
          <w:iCs/>
          <w:sz w:val="22"/>
          <w:szCs w:val="22"/>
          <w:lang w:val="uk-UA" w:eastAsia="en-US"/>
        </w:rPr>
        <w:t>тис. грн.</w:t>
      </w:r>
    </w:p>
    <w:tbl>
      <w:tblPr>
        <w:tblW w:w="9521" w:type="dxa"/>
        <w:tblInd w:w="40" w:type="dxa"/>
        <w:tblLayout w:type="fixed"/>
        <w:tblCellMar>
          <w:left w:w="40" w:type="dxa"/>
          <w:right w:w="40" w:type="dxa"/>
        </w:tblCellMar>
        <w:tblLook w:val="0000" w:firstRow="0" w:lastRow="0" w:firstColumn="0" w:lastColumn="0" w:noHBand="0" w:noVBand="0"/>
      </w:tblPr>
      <w:tblGrid>
        <w:gridCol w:w="5505"/>
        <w:gridCol w:w="2083"/>
        <w:gridCol w:w="1933"/>
      </w:tblGrid>
      <w:tr w:rsidR="00D6403C" w:rsidRPr="00364F22" w:rsidTr="00616C7B">
        <w:trPr>
          <w:trHeight w:hRule="exact" w:val="312"/>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D6403C" w:rsidP="005E41F3">
            <w:pPr>
              <w:shd w:val="clear" w:color="auto" w:fill="FFFFFF"/>
              <w:rPr>
                <w:lang w:val="uk-UA"/>
              </w:rPr>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D6403C" w:rsidP="005E41F3">
            <w:pPr>
              <w:shd w:val="clear" w:color="auto" w:fill="FFFFFF"/>
              <w:ind w:left="110"/>
              <w:jc w:val="center"/>
              <w:rPr>
                <w:b/>
                <w:i/>
                <w:lang w:val="uk-UA"/>
              </w:rPr>
            </w:pPr>
            <w:r w:rsidRPr="00364F22">
              <w:rPr>
                <w:b/>
                <w:bCs/>
                <w:i/>
                <w:lang w:val="uk-UA"/>
              </w:rPr>
              <w:t>31.12. 201</w:t>
            </w:r>
            <w:r w:rsidR="00EB6FA9">
              <w:rPr>
                <w:b/>
                <w:bCs/>
                <w:i/>
                <w:lang w:val="uk-UA"/>
              </w:rPr>
              <w:t>9</w:t>
            </w:r>
          </w:p>
        </w:tc>
        <w:tc>
          <w:tcPr>
            <w:tcW w:w="1933" w:type="dxa"/>
            <w:tcBorders>
              <w:top w:val="single" w:sz="6" w:space="0" w:color="auto"/>
              <w:left w:val="single" w:sz="6" w:space="0" w:color="auto"/>
              <w:bottom w:val="single" w:sz="6" w:space="0" w:color="auto"/>
              <w:right w:val="single" w:sz="6" w:space="0" w:color="auto"/>
            </w:tcBorders>
            <w:shd w:val="clear" w:color="auto" w:fill="FFFFFF"/>
          </w:tcPr>
          <w:p w:rsidR="00D6403C" w:rsidRPr="00364F22" w:rsidRDefault="00EB6FA9" w:rsidP="005E41F3">
            <w:pPr>
              <w:shd w:val="clear" w:color="auto" w:fill="FFFFFF"/>
              <w:jc w:val="center"/>
              <w:rPr>
                <w:b/>
                <w:i/>
                <w:lang w:val="uk-UA"/>
              </w:rPr>
            </w:pPr>
            <w:r>
              <w:rPr>
                <w:b/>
                <w:bCs/>
                <w:i/>
                <w:lang w:val="uk-UA"/>
              </w:rPr>
              <w:t>31.12.2020</w:t>
            </w:r>
          </w:p>
        </w:tc>
      </w:tr>
      <w:tr w:rsidR="00EB6FA9" w:rsidRPr="00364F22" w:rsidTr="00616C7B">
        <w:trPr>
          <w:trHeight w:hRule="exact" w:val="288"/>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EB6FA9" w:rsidRPr="00364F22" w:rsidRDefault="00EB6FA9" w:rsidP="005E41F3">
            <w:pPr>
              <w:shd w:val="clear" w:color="auto" w:fill="FFFFFF"/>
              <w:rPr>
                <w:lang w:val="uk-UA"/>
              </w:rPr>
            </w:pPr>
            <w:r w:rsidRPr="00364F22">
              <w:rPr>
                <w:lang w:val="uk-UA"/>
              </w:rPr>
              <w:t>Каса, в національній валюті</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EB6FA9" w:rsidP="005E41F3">
            <w:pPr>
              <w:jc w:val="center"/>
              <w:rPr>
                <w:lang w:val="uk-UA"/>
              </w:rPr>
            </w:pPr>
            <w:r w:rsidRPr="00364F22">
              <w:rPr>
                <w:lang w:val="uk-UA"/>
              </w:rPr>
              <w:t>54</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EB6FA9" w:rsidP="005E41F3">
            <w:pPr>
              <w:jc w:val="center"/>
              <w:rPr>
                <w:lang w:val="uk-UA"/>
              </w:rPr>
            </w:pPr>
            <w:r>
              <w:rPr>
                <w:lang w:val="uk-UA"/>
              </w:rPr>
              <w:t>50</w:t>
            </w:r>
          </w:p>
        </w:tc>
      </w:tr>
      <w:tr w:rsidR="00EB6FA9" w:rsidRPr="00364F22" w:rsidTr="00616C7B">
        <w:trPr>
          <w:trHeight w:hRule="exact" w:val="280"/>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EB6FA9" w:rsidRPr="00364F22" w:rsidRDefault="00EB6FA9" w:rsidP="005E41F3">
            <w:pPr>
              <w:shd w:val="clear" w:color="auto" w:fill="FFFFFF"/>
              <w:rPr>
                <w:lang w:val="uk-UA"/>
              </w:rPr>
            </w:pPr>
            <w:r w:rsidRPr="00364F22">
              <w:rPr>
                <w:lang w:val="uk-UA"/>
              </w:rPr>
              <w:t xml:space="preserve">Поточні рахунки у банках </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EB6FA9" w:rsidP="005E41F3">
            <w:pPr>
              <w:jc w:val="center"/>
              <w:rPr>
                <w:lang w:val="uk-UA"/>
              </w:rPr>
            </w:pPr>
            <w:r w:rsidRPr="00364F22">
              <w:rPr>
                <w:lang w:val="uk-UA"/>
              </w:rPr>
              <w:t>0</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EB6FA9" w:rsidP="005E41F3">
            <w:pPr>
              <w:jc w:val="center"/>
              <w:rPr>
                <w:lang w:val="uk-UA"/>
              </w:rPr>
            </w:pPr>
            <w:r>
              <w:rPr>
                <w:lang w:val="uk-UA"/>
              </w:rPr>
              <w:t>1</w:t>
            </w:r>
          </w:p>
        </w:tc>
      </w:tr>
      <w:tr w:rsidR="00EB6FA9" w:rsidRPr="00364F22" w:rsidTr="00616C7B">
        <w:trPr>
          <w:trHeight w:hRule="exact" w:val="282"/>
        </w:trPr>
        <w:tc>
          <w:tcPr>
            <w:tcW w:w="5505" w:type="dxa"/>
            <w:tcBorders>
              <w:top w:val="single" w:sz="6" w:space="0" w:color="auto"/>
              <w:left w:val="single" w:sz="6" w:space="0" w:color="auto"/>
              <w:bottom w:val="single" w:sz="6" w:space="0" w:color="auto"/>
              <w:right w:val="single" w:sz="6" w:space="0" w:color="auto"/>
            </w:tcBorders>
            <w:shd w:val="clear" w:color="auto" w:fill="FFFFFF"/>
          </w:tcPr>
          <w:p w:rsidR="00EB6FA9" w:rsidRPr="00364F22" w:rsidRDefault="00EB6FA9" w:rsidP="005E41F3">
            <w:pPr>
              <w:shd w:val="clear" w:color="auto" w:fill="FFFFFF"/>
              <w:rPr>
                <w:b/>
                <w:lang w:val="uk-UA"/>
              </w:rPr>
            </w:pPr>
            <w:r w:rsidRPr="00364F22">
              <w:rPr>
                <w:b/>
                <w:lang w:val="uk-UA"/>
              </w:rPr>
              <w:t>Всього</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EB6FA9" w:rsidP="005E41F3">
            <w:pPr>
              <w:jc w:val="center"/>
              <w:rPr>
                <w:b/>
                <w:lang w:val="uk-UA"/>
              </w:rPr>
            </w:pPr>
            <w:r w:rsidRPr="00364F22">
              <w:rPr>
                <w:b/>
                <w:lang w:val="uk-UA"/>
              </w:rPr>
              <w:t>54</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EB6FA9" w:rsidRPr="00364F22" w:rsidRDefault="00EB6FA9" w:rsidP="005E41F3">
            <w:pPr>
              <w:jc w:val="center"/>
              <w:rPr>
                <w:b/>
                <w:lang w:val="uk-UA"/>
              </w:rPr>
            </w:pPr>
            <w:r>
              <w:rPr>
                <w:b/>
                <w:lang w:val="uk-UA"/>
              </w:rPr>
              <w:t>51</w:t>
            </w:r>
          </w:p>
        </w:tc>
      </w:tr>
    </w:tbl>
    <w:p w:rsidR="00446E71" w:rsidRPr="00616C7B" w:rsidRDefault="00446E71" w:rsidP="00446E71">
      <w:pPr>
        <w:jc w:val="both"/>
      </w:pPr>
      <w:r w:rsidRPr="00616C7B">
        <w:t>Грошові кошти та їх еквіваленти не мають забезпечення.</w:t>
      </w:r>
    </w:p>
    <w:p w:rsidR="00446E71" w:rsidRPr="00616C7B" w:rsidRDefault="00446E71" w:rsidP="00446E71">
      <w:pPr>
        <w:pStyle w:val="ABC-paragrahinNotes"/>
        <w:spacing w:after="0"/>
        <w:rPr>
          <w:rFonts w:ascii="Times New Roman" w:hAnsi="Times New Roman"/>
          <w:sz w:val="24"/>
          <w:szCs w:val="24"/>
          <w:lang w:val="uk-UA" w:eastAsia="ar-SA"/>
        </w:rPr>
      </w:pPr>
      <w:r w:rsidRPr="00616C7B">
        <w:rPr>
          <w:rFonts w:ascii="Times New Roman" w:hAnsi="Times New Roman"/>
          <w:sz w:val="24"/>
          <w:szCs w:val="24"/>
          <w:lang w:val="uk-UA" w:eastAsia="ar-SA"/>
        </w:rPr>
        <w:t>Грошових коштів та їх еквівалентів з обмеженням до використання Товариство станом на 31.12.2020 р. не має.</w:t>
      </w:r>
    </w:p>
    <w:p w:rsidR="00A1036C" w:rsidRPr="00616C7B" w:rsidRDefault="00A1036C" w:rsidP="00A1036C">
      <w:pPr>
        <w:autoSpaceDE w:val="0"/>
        <w:autoSpaceDN w:val="0"/>
        <w:adjustRightInd w:val="0"/>
        <w:spacing w:before="120" w:after="120"/>
        <w:jc w:val="both"/>
        <w:rPr>
          <w:b/>
          <w:bCs/>
          <w:i/>
          <w:iCs/>
          <w:lang w:val="uk-UA" w:eastAsia="en-US"/>
        </w:rPr>
      </w:pPr>
      <w:r w:rsidRPr="00616C7B">
        <w:rPr>
          <w:b/>
          <w:bCs/>
          <w:i/>
          <w:iCs/>
          <w:lang w:val="uk-UA" w:eastAsia="en-US"/>
        </w:rPr>
        <w:t>Дебіторська заборгованість.</w:t>
      </w:r>
    </w:p>
    <w:p w:rsidR="00A1036C" w:rsidRPr="00364F22" w:rsidRDefault="00A1036C" w:rsidP="00A1036C">
      <w:pPr>
        <w:autoSpaceDE w:val="0"/>
        <w:autoSpaceDN w:val="0"/>
        <w:adjustRightInd w:val="0"/>
        <w:jc w:val="both"/>
        <w:rPr>
          <w:bCs/>
          <w:iCs/>
          <w:lang w:val="uk-UA" w:eastAsia="en-US"/>
        </w:rPr>
      </w:pPr>
      <w:r w:rsidRPr="00616C7B">
        <w:rPr>
          <w:bCs/>
          <w:iCs/>
          <w:lang w:val="uk-UA" w:eastAsia="en-US"/>
        </w:rPr>
        <w:t>Станом на</w:t>
      </w:r>
      <w:r w:rsidRPr="00364F22">
        <w:rPr>
          <w:bCs/>
          <w:iCs/>
          <w:lang w:val="uk-UA" w:eastAsia="en-US"/>
        </w:rPr>
        <w:t xml:space="preserve"> 31 грудня поточна дебіторська заборгованість за основною діяльністю та інша дебіторська заборгованість мали наступну структуру:</w:t>
      </w:r>
    </w:p>
    <w:p w:rsidR="00A1036C" w:rsidRPr="00F66B25" w:rsidRDefault="00364F22" w:rsidP="00364F22">
      <w:pPr>
        <w:autoSpaceDE w:val="0"/>
        <w:autoSpaceDN w:val="0"/>
        <w:adjustRightInd w:val="0"/>
        <w:jc w:val="right"/>
        <w:rPr>
          <w:bCs/>
          <w:iCs/>
          <w:sz w:val="22"/>
          <w:szCs w:val="22"/>
          <w:lang w:val="uk-UA" w:eastAsia="en-US"/>
        </w:rPr>
      </w:pPr>
      <w:r w:rsidRPr="00F66B25">
        <w:rPr>
          <w:bCs/>
          <w:iCs/>
          <w:sz w:val="22"/>
          <w:szCs w:val="22"/>
          <w:lang w:val="uk-UA" w:eastAsia="en-US"/>
        </w:rPr>
        <w:t>тис. 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14"/>
        <w:gridCol w:w="1701"/>
        <w:gridCol w:w="1842"/>
      </w:tblGrid>
      <w:tr w:rsidR="00A1036C" w:rsidRPr="00364F22" w:rsidTr="00A1036C">
        <w:tc>
          <w:tcPr>
            <w:tcW w:w="3082" w:type="dxa"/>
            <w:shd w:val="clear" w:color="auto" w:fill="auto"/>
          </w:tcPr>
          <w:p w:rsidR="00A1036C" w:rsidRPr="00364F22" w:rsidRDefault="00A1036C" w:rsidP="00F83824">
            <w:pPr>
              <w:jc w:val="center"/>
              <w:rPr>
                <w:bCs/>
                <w:spacing w:val="-2"/>
                <w:sz w:val="22"/>
                <w:szCs w:val="22"/>
                <w:lang w:val="uk-UA"/>
              </w:rPr>
            </w:pPr>
            <w:r w:rsidRPr="00364F22">
              <w:rPr>
                <w:bCs/>
                <w:spacing w:val="-2"/>
                <w:sz w:val="22"/>
                <w:szCs w:val="22"/>
                <w:lang w:val="uk-UA"/>
              </w:rPr>
              <w:t>Стаття звіту</w:t>
            </w:r>
          </w:p>
        </w:tc>
        <w:tc>
          <w:tcPr>
            <w:tcW w:w="3014" w:type="dxa"/>
            <w:shd w:val="clear" w:color="auto" w:fill="auto"/>
          </w:tcPr>
          <w:p w:rsidR="00A1036C" w:rsidRPr="00364F22" w:rsidRDefault="00A1036C" w:rsidP="00F83824">
            <w:pPr>
              <w:jc w:val="center"/>
              <w:rPr>
                <w:bCs/>
                <w:spacing w:val="-2"/>
                <w:sz w:val="22"/>
                <w:szCs w:val="22"/>
                <w:lang w:val="uk-UA"/>
              </w:rPr>
            </w:pPr>
            <w:r w:rsidRPr="00364F22">
              <w:rPr>
                <w:bCs/>
                <w:spacing w:val="-2"/>
                <w:sz w:val="22"/>
                <w:szCs w:val="22"/>
                <w:lang w:val="uk-UA"/>
              </w:rPr>
              <w:t>Віднесено до статті</w:t>
            </w:r>
          </w:p>
        </w:tc>
        <w:tc>
          <w:tcPr>
            <w:tcW w:w="1701" w:type="dxa"/>
            <w:shd w:val="clear" w:color="auto" w:fill="auto"/>
          </w:tcPr>
          <w:p w:rsidR="00A1036C" w:rsidRPr="00364F22" w:rsidRDefault="00481A05" w:rsidP="00F83824">
            <w:pPr>
              <w:jc w:val="center"/>
              <w:rPr>
                <w:b/>
                <w:bCs/>
                <w:i/>
                <w:spacing w:val="-2"/>
                <w:sz w:val="22"/>
                <w:szCs w:val="22"/>
                <w:lang w:val="uk-UA"/>
              </w:rPr>
            </w:pPr>
            <w:r>
              <w:rPr>
                <w:b/>
                <w:bCs/>
                <w:i/>
                <w:spacing w:val="-2"/>
                <w:sz w:val="22"/>
                <w:szCs w:val="22"/>
                <w:lang w:val="uk-UA"/>
              </w:rPr>
              <w:t>На 31.12. 2019</w:t>
            </w:r>
          </w:p>
        </w:tc>
        <w:tc>
          <w:tcPr>
            <w:tcW w:w="1842" w:type="dxa"/>
          </w:tcPr>
          <w:p w:rsidR="00A1036C" w:rsidRPr="00364F22" w:rsidRDefault="00481A05" w:rsidP="00F83824">
            <w:pPr>
              <w:jc w:val="center"/>
              <w:rPr>
                <w:b/>
                <w:bCs/>
                <w:i/>
                <w:spacing w:val="-2"/>
                <w:sz w:val="22"/>
                <w:szCs w:val="22"/>
                <w:lang w:val="uk-UA"/>
              </w:rPr>
            </w:pPr>
            <w:r>
              <w:rPr>
                <w:b/>
                <w:bCs/>
                <w:i/>
                <w:spacing w:val="-2"/>
                <w:sz w:val="22"/>
                <w:szCs w:val="22"/>
                <w:lang w:val="uk-UA"/>
              </w:rPr>
              <w:t>На 31.12.2020</w:t>
            </w:r>
          </w:p>
        </w:tc>
      </w:tr>
      <w:tr w:rsidR="00A1036C" w:rsidRPr="00364F22" w:rsidTr="00A1036C">
        <w:tc>
          <w:tcPr>
            <w:tcW w:w="3082" w:type="dxa"/>
            <w:shd w:val="clear" w:color="auto" w:fill="auto"/>
          </w:tcPr>
          <w:p w:rsidR="00A1036C" w:rsidRPr="00364F22" w:rsidRDefault="00A1036C" w:rsidP="00F83824">
            <w:pPr>
              <w:rPr>
                <w:bCs/>
                <w:spacing w:val="-2"/>
                <w:sz w:val="22"/>
                <w:szCs w:val="22"/>
                <w:lang w:val="uk-UA"/>
              </w:rPr>
            </w:pPr>
            <w:r w:rsidRPr="00364F22">
              <w:rPr>
                <w:bCs/>
                <w:spacing w:val="-2"/>
                <w:sz w:val="22"/>
                <w:szCs w:val="22"/>
                <w:lang w:val="uk-UA"/>
              </w:rPr>
              <w:t>Інша поточна дебіторська заборгованість</w:t>
            </w:r>
          </w:p>
        </w:tc>
        <w:tc>
          <w:tcPr>
            <w:tcW w:w="3014" w:type="dxa"/>
            <w:shd w:val="clear" w:color="auto" w:fill="auto"/>
          </w:tcPr>
          <w:p w:rsidR="00A1036C" w:rsidRPr="00364F22" w:rsidRDefault="00A1036C" w:rsidP="00F83824">
            <w:pPr>
              <w:rPr>
                <w:bCs/>
                <w:spacing w:val="-2"/>
                <w:sz w:val="22"/>
                <w:szCs w:val="22"/>
                <w:lang w:val="uk-UA"/>
              </w:rPr>
            </w:pPr>
            <w:r w:rsidRPr="00364F22">
              <w:rPr>
                <w:sz w:val="22"/>
                <w:szCs w:val="22"/>
                <w:lang w:val="uk-UA"/>
              </w:rPr>
              <w:t xml:space="preserve">Надання кредитів фізичним особам </w:t>
            </w:r>
          </w:p>
        </w:tc>
        <w:tc>
          <w:tcPr>
            <w:tcW w:w="1701" w:type="dxa"/>
            <w:shd w:val="clear" w:color="auto" w:fill="auto"/>
            <w:vAlign w:val="center"/>
          </w:tcPr>
          <w:p w:rsidR="00A1036C" w:rsidRPr="00364F22" w:rsidRDefault="00481A05" w:rsidP="00F83824">
            <w:pPr>
              <w:autoSpaceDE w:val="0"/>
              <w:autoSpaceDN w:val="0"/>
              <w:adjustRightInd w:val="0"/>
              <w:jc w:val="center"/>
              <w:rPr>
                <w:sz w:val="22"/>
                <w:szCs w:val="22"/>
                <w:lang w:val="uk-UA"/>
              </w:rPr>
            </w:pPr>
            <w:r w:rsidRPr="00364F22">
              <w:rPr>
                <w:sz w:val="22"/>
                <w:szCs w:val="22"/>
                <w:lang w:val="uk-UA"/>
              </w:rPr>
              <w:t>5 989</w:t>
            </w:r>
          </w:p>
        </w:tc>
        <w:tc>
          <w:tcPr>
            <w:tcW w:w="1842" w:type="dxa"/>
            <w:vAlign w:val="center"/>
          </w:tcPr>
          <w:p w:rsidR="00A1036C" w:rsidRPr="00364F22" w:rsidRDefault="00496C96" w:rsidP="00496C96">
            <w:pPr>
              <w:autoSpaceDE w:val="0"/>
              <w:autoSpaceDN w:val="0"/>
              <w:adjustRightInd w:val="0"/>
              <w:jc w:val="center"/>
              <w:rPr>
                <w:sz w:val="22"/>
                <w:szCs w:val="22"/>
                <w:lang w:val="uk-UA"/>
              </w:rPr>
            </w:pPr>
            <w:r>
              <w:rPr>
                <w:sz w:val="22"/>
                <w:szCs w:val="22"/>
                <w:lang w:val="uk-UA"/>
              </w:rPr>
              <w:t>7</w:t>
            </w:r>
            <w:r w:rsidR="00A1036C" w:rsidRPr="00364F22">
              <w:rPr>
                <w:sz w:val="22"/>
                <w:szCs w:val="22"/>
                <w:lang w:val="uk-UA"/>
              </w:rPr>
              <w:t xml:space="preserve"> </w:t>
            </w:r>
            <w:r>
              <w:rPr>
                <w:sz w:val="22"/>
                <w:szCs w:val="22"/>
                <w:lang w:val="uk-UA"/>
              </w:rPr>
              <w:t>241</w:t>
            </w:r>
          </w:p>
        </w:tc>
      </w:tr>
      <w:tr w:rsidR="00A1036C" w:rsidRPr="00364F22" w:rsidTr="00A1036C">
        <w:tc>
          <w:tcPr>
            <w:tcW w:w="3082" w:type="dxa"/>
            <w:shd w:val="clear" w:color="auto" w:fill="auto"/>
          </w:tcPr>
          <w:p w:rsidR="00A1036C" w:rsidRPr="00364F22" w:rsidRDefault="00A1036C" w:rsidP="00F83824">
            <w:pPr>
              <w:rPr>
                <w:bCs/>
                <w:spacing w:val="-2"/>
                <w:sz w:val="22"/>
                <w:szCs w:val="22"/>
                <w:lang w:val="uk-UA"/>
              </w:rPr>
            </w:pPr>
            <w:r w:rsidRPr="00364F22">
              <w:rPr>
                <w:bCs/>
                <w:spacing w:val="-2"/>
                <w:sz w:val="22"/>
                <w:szCs w:val="22"/>
                <w:lang w:val="uk-UA"/>
              </w:rPr>
              <w:t>Дебіторська заборгованість  з нарахованих доходів</w:t>
            </w:r>
          </w:p>
        </w:tc>
        <w:tc>
          <w:tcPr>
            <w:tcW w:w="3014" w:type="dxa"/>
            <w:shd w:val="clear" w:color="auto" w:fill="auto"/>
          </w:tcPr>
          <w:p w:rsidR="00A1036C" w:rsidRPr="00364F22" w:rsidRDefault="00A1036C" w:rsidP="00F83824">
            <w:pPr>
              <w:rPr>
                <w:sz w:val="22"/>
                <w:szCs w:val="22"/>
                <w:lang w:val="uk-UA"/>
              </w:rPr>
            </w:pPr>
            <w:r w:rsidRPr="00364F22">
              <w:rPr>
                <w:sz w:val="22"/>
                <w:szCs w:val="22"/>
                <w:lang w:val="uk-UA"/>
              </w:rPr>
              <w:t>Відсотки по залишках кредитів</w:t>
            </w:r>
          </w:p>
        </w:tc>
        <w:tc>
          <w:tcPr>
            <w:tcW w:w="1701" w:type="dxa"/>
            <w:shd w:val="clear" w:color="auto" w:fill="auto"/>
            <w:vAlign w:val="center"/>
          </w:tcPr>
          <w:p w:rsidR="00A1036C" w:rsidRPr="00364F22" w:rsidRDefault="00481A05" w:rsidP="00F83824">
            <w:pPr>
              <w:autoSpaceDE w:val="0"/>
              <w:autoSpaceDN w:val="0"/>
              <w:adjustRightInd w:val="0"/>
              <w:jc w:val="center"/>
              <w:rPr>
                <w:sz w:val="22"/>
                <w:szCs w:val="22"/>
                <w:lang w:val="uk-UA"/>
              </w:rPr>
            </w:pPr>
            <w:r>
              <w:rPr>
                <w:sz w:val="22"/>
                <w:szCs w:val="22"/>
                <w:lang w:val="uk-UA"/>
              </w:rPr>
              <w:t>614</w:t>
            </w:r>
          </w:p>
        </w:tc>
        <w:tc>
          <w:tcPr>
            <w:tcW w:w="1842" w:type="dxa"/>
            <w:vAlign w:val="center"/>
          </w:tcPr>
          <w:p w:rsidR="00A1036C" w:rsidRPr="00364F22" w:rsidRDefault="004D30AF" w:rsidP="00F83824">
            <w:pPr>
              <w:autoSpaceDE w:val="0"/>
              <w:autoSpaceDN w:val="0"/>
              <w:adjustRightInd w:val="0"/>
              <w:jc w:val="center"/>
              <w:rPr>
                <w:sz w:val="22"/>
                <w:szCs w:val="22"/>
                <w:lang w:val="uk-UA"/>
              </w:rPr>
            </w:pPr>
            <w:r>
              <w:rPr>
                <w:sz w:val="22"/>
                <w:szCs w:val="22"/>
                <w:lang w:val="uk-UA"/>
              </w:rPr>
              <w:t>902</w:t>
            </w:r>
          </w:p>
        </w:tc>
      </w:tr>
      <w:tr w:rsidR="00D6403C" w:rsidRPr="00364F22" w:rsidTr="00A1036C">
        <w:tc>
          <w:tcPr>
            <w:tcW w:w="3082" w:type="dxa"/>
            <w:shd w:val="clear" w:color="auto" w:fill="auto"/>
          </w:tcPr>
          <w:p w:rsidR="00D6403C" w:rsidRPr="00364F22" w:rsidRDefault="00D6403C" w:rsidP="00215D5D">
            <w:pPr>
              <w:rPr>
                <w:bCs/>
                <w:spacing w:val="-2"/>
                <w:sz w:val="22"/>
                <w:szCs w:val="22"/>
                <w:lang w:val="uk-UA"/>
              </w:rPr>
            </w:pPr>
            <w:r w:rsidRPr="00364F22">
              <w:rPr>
                <w:b/>
                <w:bCs/>
                <w:spacing w:val="-3"/>
                <w:sz w:val="22"/>
                <w:szCs w:val="22"/>
                <w:lang w:val="uk-UA"/>
              </w:rPr>
              <w:t>Всього дебіторська заборгованість</w:t>
            </w:r>
          </w:p>
        </w:tc>
        <w:tc>
          <w:tcPr>
            <w:tcW w:w="3014" w:type="dxa"/>
            <w:shd w:val="clear" w:color="auto" w:fill="auto"/>
          </w:tcPr>
          <w:p w:rsidR="00D6403C" w:rsidRPr="00364F22" w:rsidRDefault="00D6403C" w:rsidP="00215D5D">
            <w:pPr>
              <w:rPr>
                <w:sz w:val="22"/>
                <w:szCs w:val="22"/>
                <w:lang w:val="uk-UA"/>
              </w:rPr>
            </w:pPr>
          </w:p>
        </w:tc>
        <w:tc>
          <w:tcPr>
            <w:tcW w:w="1701" w:type="dxa"/>
            <w:shd w:val="clear" w:color="auto" w:fill="auto"/>
            <w:vAlign w:val="center"/>
          </w:tcPr>
          <w:p w:rsidR="00D6403C" w:rsidRPr="00364F22" w:rsidRDefault="00481A05" w:rsidP="00215D5D">
            <w:pPr>
              <w:autoSpaceDE w:val="0"/>
              <w:autoSpaceDN w:val="0"/>
              <w:adjustRightInd w:val="0"/>
              <w:jc w:val="center"/>
              <w:rPr>
                <w:b/>
                <w:sz w:val="22"/>
                <w:szCs w:val="22"/>
                <w:lang w:val="uk-UA"/>
              </w:rPr>
            </w:pPr>
            <w:r>
              <w:rPr>
                <w:b/>
                <w:sz w:val="22"/>
                <w:szCs w:val="22"/>
                <w:lang w:val="uk-UA"/>
              </w:rPr>
              <w:t>6</w:t>
            </w:r>
            <w:r w:rsidR="004D30AF">
              <w:rPr>
                <w:b/>
                <w:sz w:val="22"/>
                <w:szCs w:val="22"/>
                <w:lang w:val="uk-UA"/>
              </w:rPr>
              <w:t xml:space="preserve"> </w:t>
            </w:r>
            <w:r>
              <w:rPr>
                <w:b/>
                <w:sz w:val="22"/>
                <w:szCs w:val="22"/>
                <w:lang w:val="uk-UA"/>
              </w:rPr>
              <w:t>603</w:t>
            </w:r>
          </w:p>
        </w:tc>
        <w:tc>
          <w:tcPr>
            <w:tcW w:w="1842" w:type="dxa"/>
            <w:vAlign w:val="center"/>
          </w:tcPr>
          <w:p w:rsidR="00D6403C" w:rsidRPr="00364F22" w:rsidRDefault="00D6403C" w:rsidP="00215D5D">
            <w:pPr>
              <w:autoSpaceDE w:val="0"/>
              <w:autoSpaceDN w:val="0"/>
              <w:adjustRightInd w:val="0"/>
              <w:jc w:val="center"/>
              <w:rPr>
                <w:b/>
                <w:sz w:val="22"/>
                <w:szCs w:val="22"/>
                <w:lang w:val="uk-UA"/>
              </w:rPr>
            </w:pPr>
            <w:r w:rsidRPr="00364F22">
              <w:rPr>
                <w:b/>
                <w:sz w:val="22"/>
                <w:szCs w:val="22"/>
                <w:lang w:val="uk-UA"/>
              </w:rPr>
              <w:t>6 603</w:t>
            </w:r>
          </w:p>
        </w:tc>
      </w:tr>
    </w:tbl>
    <w:p w:rsidR="00A1036C" w:rsidRPr="00364F22" w:rsidRDefault="00A1036C" w:rsidP="00215D5D">
      <w:pPr>
        <w:pStyle w:val="4"/>
        <w:keepNext w:val="0"/>
        <w:keepLines w:val="0"/>
        <w:spacing w:before="120" w:after="120"/>
        <w:ind w:firstLine="426"/>
        <w:jc w:val="both"/>
        <w:rPr>
          <w:rFonts w:ascii="Times New Roman" w:hAnsi="Times New Roman"/>
          <w:i w:val="0"/>
          <w:color w:val="auto"/>
          <w:lang w:val="uk-UA"/>
        </w:rPr>
      </w:pPr>
      <w:r w:rsidRPr="00364F22">
        <w:rPr>
          <w:rFonts w:ascii="Times New Roman" w:hAnsi="Times New Roman"/>
          <w:i w:val="0"/>
          <w:color w:val="auto"/>
          <w:lang w:val="uk-UA" w:eastAsia="ar-SA"/>
        </w:rPr>
        <w:t xml:space="preserve">Поточна дебіторська заборгованість обліковується за чистою реалізаційною вартістю, визначеною як вартість дебіторської заборгованості за вирахуванням резерву неповернених кредитів (страхового резерву). </w:t>
      </w:r>
    </w:p>
    <w:p w:rsidR="00A1036C" w:rsidRPr="00446E71" w:rsidRDefault="00A1036C" w:rsidP="00215D5D">
      <w:pPr>
        <w:spacing w:before="120" w:after="120"/>
        <w:ind w:firstLine="426"/>
        <w:jc w:val="both"/>
        <w:rPr>
          <w:lang w:val="uk-UA"/>
        </w:rPr>
      </w:pPr>
      <w:r w:rsidRPr="00364F22">
        <w:rPr>
          <w:rStyle w:val="hps"/>
          <w:lang w:val="uk-UA"/>
        </w:rPr>
        <w:t>Керівництво вважає, що дебіторська заборгованість (за наданими кредитами) буде погашена шляхом отримання грошових коштів найближчим часом та балансова вартість такої дебіторської заборгованості приблизно дорівнює її справедливій вартості. Через те, що заборгованість по виданих кредитах повністю забезпечена заставою, керівництво відповідно до внутрішніх положень Товариства</w:t>
      </w:r>
      <w:r w:rsidRPr="00364F22">
        <w:rPr>
          <w:lang w:val="uk-UA"/>
        </w:rPr>
        <w:t xml:space="preserve">, що стосуються класифікації кредитних операцій та формування страхового резерву </w:t>
      </w:r>
      <w:r w:rsidRPr="00364F22">
        <w:rPr>
          <w:rStyle w:val="af9"/>
          <w:b w:val="0"/>
          <w:lang w:val="uk-UA"/>
        </w:rPr>
        <w:t xml:space="preserve">для відшкодування можливих втрат за всіма видами </w:t>
      </w:r>
      <w:r w:rsidRPr="00446E71">
        <w:rPr>
          <w:rStyle w:val="af9"/>
          <w:b w:val="0"/>
          <w:lang w:val="uk-UA"/>
        </w:rPr>
        <w:t>кредитних операцій, відносить цю заборгованість до</w:t>
      </w:r>
      <w:r w:rsidRPr="00446E71">
        <w:rPr>
          <w:lang w:val="uk-UA"/>
        </w:rPr>
        <w:t xml:space="preserve"> першої групи ризику та не створює страховий резерв.</w:t>
      </w:r>
    </w:p>
    <w:p w:rsidR="00A1036C" w:rsidRPr="00446E71" w:rsidRDefault="00A1036C" w:rsidP="00A1036C">
      <w:pPr>
        <w:spacing w:before="120" w:after="120"/>
        <w:ind w:firstLine="426"/>
        <w:jc w:val="both"/>
        <w:rPr>
          <w:lang w:val="uk-UA"/>
        </w:rPr>
      </w:pPr>
      <w:r w:rsidRPr="00446E71">
        <w:rPr>
          <w:lang w:val="uk-UA"/>
        </w:rPr>
        <w:t xml:space="preserve">У звітному періоді Товариством не було випадків визнання дебіторської заборгованості </w:t>
      </w:r>
      <w:r w:rsidRPr="00446E71">
        <w:rPr>
          <w:lang w:val="uk-UA"/>
        </w:rPr>
        <w:lastRenderedPageBreak/>
        <w:t xml:space="preserve">безнадійною. Простроченої дебіторської заборгованості немає. </w:t>
      </w:r>
    </w:p>
    <w:p w:rsidR="00A1036C" w:rsidRPr="00364F22" w:rsidRDefault="00A1036C" w:rsidP="00A1036C">
      <w:pPr>
        <w:autoSpaceDE w:val="0"/>
        <w:autoSpaceDN w:val="0"/>
        <w:adjustRightInd w:val="0"/>
        <w:spacing w:before="120" w:after="120"/>
        <w:rPr>
          <w:b/>
          <w:bCs/>
          <w:i/>
          <w:iCs/>
          <w:lang w:val="uk-UA" w:eastAsia="en-US"/>
        </w:rPr>
      </w:pPr>
      <w:r w:rsidRPr="00446E71">
        <w:rPr>
          <w:b/>
          <w:bCs/>
          <w:i/>
          <w:iCs/>
          <w:lang w:val="uk-UA" w:eastAsia="en-US"/>
        </w:rPr>
        <w:t>Кредиторська заборгованість за основною діяльністю та інша кредиторська</w:t>
      </w:r>
      <w:r w:rsidRPr="00364F22">
        <w:rPr>
          <w:b/>
          <w:bCs/>
          <w:i/>
          <w:iCs/>
          <w:lang w:val="uk-UA" w:eastAsia="en-US"/>
        </w:rPr>
        <w:t xml:space="preserve"> заборгованість</w:t>
      </w:r>
    </w:p>
    <w:p w:rsidR="00A1036C" w:rsidRPr="00364F22" w:rsidRDefault="00A1036C" w:rsidP="00A1036C">
      <w:pPr>
        <w:autoSpaceDE w:val="0"/>
        <w:autoSpaceDN w:val="0"/>
        <w:adjustRightInd w:val="0"/>
        <w:jc w:val="both"/>
        <w:rPr>
          <w:bCs/>
          <w:iCs/>
          <w:lang w:val="uk-UA" w:eastAsia="en-US"/>
        </w:rPr>
      </w:pPr>
      <w:r w:rsidRPr="00364F22">
        <w:rPr>
          <w:bCs/>
          <w:iCs/>
          <w:lang w:val="uk-UA" w:eastAsia="en-US"/>
        </w:rPr>
        <w:t>Станом на 31 грудня кредиторська заборгованість за основною діяльністю та інша кредиторська заборгованість мали наступну структуру:</w:t>
      </w:r>
    </w:p>
    <w:p w:rsidR="00364F22" w:rsidRPr="00364F22" w:rsidRDefault="00364F22" w:rsidP="00364F22">
      <w:pPr>
        <w:autoSpaceDE w:val="0"/>
        <w:autoSpaceDN w:val="0"/>
        <w:adjustRightInd w:val="0"/>
        <w:jc w:val="right"/>
        <w:rPr>
          <w:bCs/>
          <w:iCs/>
          <w:lang w:val="uk-UA" w:eastAsia="en-US"/>
        </w:rPr>
      </w:pPr>
      <w:r w:rsidRPr="00364F22">
        <w:rPr>
          <w:bCs/>
          <w:iCs/>
          <w:lang w:val="uk-UA" w:eastAsia="en-US"/>
        </w:rPr>
        <w:t>тис. грн.</w:t>
      </w:r>
    </w:p>
    <w:tbl>
      <w:tblPr>
        <w:tblW w:w="9848" w:type="dxa"/>
        <w:tblInd w:w="40" w:type="dxa"/>
        <w:tblLayout w:type="fixed"/>
        <w:tblCellMar>
          <w:left w:w="40" w:type="dxa"/>
          <w:right w:w="40" w:type="dxa"/>
        </w:tblCellMar>
        <w:tblLook w:val="0000" w:firstRow="0" w:lastRow="0" w:firstColumn="0" w:lastColumn="0" w:noHBand="0" w:noVBand="0"/>
      </w:tblPr>
      <w:tblGrid>
        <w:gridCol w:w="5359"/>
        <w:gridCol w:w="2028"/>
        <w:gridCol w:w="2461"/>
      </w:tblGrid>
      <w:tr w:rsidR="00A1036C" w:rsidRPr="00364F22" w:rsidTr="00F66B25">
        <w:trPr>
          <w:trHeight w:hRule="exact" w:val="246"/>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sz w:val="22"/>
                <w:szCs w:val="22"/>
                <w:lang w:val="uk-UA"/>
              </w:rPr>
            </w:pP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6F43A9" w:rsidP="00F83824">
            <w:pPr>
              <w:jc w:val="center"/>
              <w:rPr>
                <w:b/>
                <w:bCs/>
                <w:i/>
                <w:spacing w:val="-2"/>
                <w:sz w:val="22"/>
                <w:szCs w:val="22"/>
                <w:lang w:val="uk-UA"/>
              </w:rPr>
            </w:pPr>
            <w:r>
              <w:rPr>
                <w:b/>
                <w:bCs/>
                <w:i/>
                <w:spacing w:val="-2"/>
                <w:sz w:val="22"/>
                <w:szCs w:val="22"/>
                <w:lang w:val="uk-UA"/>
              </w:rPr>
              <w:t>На 31.12. 2019</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6F43A9" w:rsidP="00F83824">
            <w:pPr>
              <w:jc w:val="center"/>
              <w:rPr>
                <w:b/>
                <w:bCs/>
                <w:i/>
                <w:spacing w:val="-2"/>
                <w:sz w:val="22"/>
                <w:szCs w:val="22"/>
                <w:lang w:val="uk-UA"/>
              </w:rPr>
            </w:pPr>
            <w:r>
              <w:rPr>
                <w:b/>
                <w:bCs/>
                <w:i/>
                <w:spacing w:val="-2"/>
                <w:sz w:val="22"/>
                <w:szCs w:val="22"/>
                <w:lang w:val="uk-UA"/>
              </w:rPr>
              <w:t>На 31.12.2020</w:t>
            </w:r>
          </w:p>
        </w:tc>
      </w:tr>
      <w:tr w:rsidR="00A1036C" w:rsidRPr="00364F22" w:rsidTr="00F83824">
        <w:trPr>
          <w:trHeight w:hRule="exact" w:val="418"/>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sz w:val="22"/>
                <w:szCs w:val="22"/>
                <w:lang w:val="uk-UA"/>
              </w:rPr>
            </w:pPr>
            <w:r w:rsidRPr="00364F22">
              <w:rPr>
                <w:sz w:val="22"/>
                <w:szCs w:val="22"/>
                <w:lang w:val="uk-UA"/>
              </w:rPr>
              <w:t>Розрахунки з бюджетом</w:t>
            </w:r>
          </w:p>
          <w:p w:rsidR="00A1036C" w:rsidRPr="00364F22" w:rsidRDefault="00A1036C" w:rsidP="00F83824">
            <w:pPr>
              <w:shd w:val="clear" w:color="auto" w:fill="FFFFFF"/>
              <w:rPr>
                <w:sz w:val="22"/>
                <w:szCs w:val="22"/>
                <w:lang w:val="uk-UA"/>
              </w:rPr>
            </w:pPr>
          </w:p>
          <w:p w:rsidR="00A1036C" w:rsidRPr="00364F22" w:rsidRDefault="00A1036C" w:rsidP="00F83824">
            <w:pPr>
              <w:shd w:val="clear" w:color="auto" w:fill="FFFFFF"/>
              <w:rPr>
                <w:sz w:val="22"/>
                <w:szCs w:val="22"/>
                <w:lang w:val="uk-UA"/>
              </w:rPr>
            </w:pP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6F43A9" w:rsidP="00F83824">
            <w:pPr>
              <w:shd w:val="clear" w:color="auto" w:fill="FFFFFF"/>
              <w:ind w:left="542" w:hanging="432"/>
              <w:jc w:val="center"/>
              <w:rPr>
                <w:sz w:val="22"/>
                <w:szCs w:val="22"/>
                <w:lang w:val="uk-UA"/>
              </w:rPr>
            </w:pPr>
            <w:r>
              <w:rPr>
                <w:sz w:val="22"/>
                <w:szCs w:val="22"/>
                <w:lang w:val="uk-UA"/>
              </w:rPr>
              <w:t>67</w:t>
            </w:r>
          </w:p>
        </w:tc>
        <w:tc>
          <w:tcPr>
            <w:tcW w:w="2461" w:type="dxa"/>
            <w:tcBorders>
              <w:top w:val="single" w:sz="6" w:space="0" w:color="auto"/>
              <w:left w:val="single" w:sz="6" w:space="0" w:color="auto"/>
              <w:bottom w:val="single" w:sz="6" w:space="0" w:color="auto"/>
              <w:right w:val="single" w:sz="6" w:space="0" w:color="auto"/>
            </w:tcBorders>
            <w:shd w:val="clear" w:color="auto" w:fill="FFFFFF"/>
          </w:tcPr>
          <w:p w:rsidR="00A1036C" w:rsidRPr="00364F22" w:rsidRDefault="006F43A9" w:rsidP="00F83824">
            <w:pPr>
              <w:shd w:val="clear" w:color="auto" w:fill="FFFFFF"/>
              <w:ind w:left="542" w:hanging="432"/>
              <w:jc w:val="center"/>
              <w:rPr>
                <w:sz w:val="22"/>
                <w:szCs w:val="22"/>
                <w:lang w:val="uk-UA"/>
              </w:rPr>
            </w:pPr>
            <w:r>
              <w:rPr>
                <w:sz w:val="22"/>
                <w:szCs w:val="22"/>
                <w:lang w:val="uk-UA"/>
              </w:rPr>
              <w:t>4</w:t>
            </w:r>
            <w:r w:rsidR="00AA6080">
              <w:rPr>
                <w:sz w:val="22"/>
                <w:szCs w:val="22"/>
                <w:lang w:val="uk-UA"/>
              </w:rPr>
              <w:t>3</w:t>
            </w:r>
          </w:p>
        </w:tc>
      </w:tr>
      <w:tr w:rsidR="00A1036C" w:rsidRPr="00364F22" w:rsidTr="00F66B25">
        <w:trPr>
          <w:trHeight w:hRule="exact" w:val="436"/>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bCs/>
                <w:spacing w:val="-3"/>
                <w:sz w:val="22"/>
                <w:szCs w:val="22"/>
                <w:lang w:val="uk-UA"/>
              </w:rPr>
            </w:pPr>
            <w:r w:rsidRPr="00364F22">
              <w:rPr>
                <w:bCs/>
                <w:spacing w:val="-3"/>
                <w:sz w:val="22"/>
                <w:szCs w:val="22"/>
                <w:lang w:val="uk-UA"/>
              </w:rPr>
              <w:t>Розрахунки з оплати праці</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6F43A9" w:rsidP="00F83824">
            <w:pPr>
              <w:jc w:val="center"/>
              <w:rPr>
                <w:sz w:val="22"/>
                <w:szCs w:val="22"/>
                <w:lang w:val="uk-UA"/>
              </w:rPr>
            </w:pPr>
            <w:r>
              <w:rPr>
                <w:sz w:val="22"/>
                <w:szCs w:val="22"/>
                <w:lang w:val="uk-UA"/>
              </w:rPr>
              <w:t>26</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D6403C" w:rsidP="00F83824">
            <w:pPr>
              <w:jc w:val="center"/>
              <w:rPr>
                <w:sz w:val="22"/>
                <w:szCs w:val="22"/>
                <w:lang w:val="uk-UA"/>
              </w:rPr>
            </w:pPr>
            <w:r w:rsidRPr="00364F22">
              <w:rPr>
                <w:sz w:val="22"/>
                <w:szCs w:val="22"/>
                <w:lang w:val="uk-UA"/>
              </w:rPr>
              <w:t>2</w:t>
            </w:r>
            <w:r w:rsidR="006F43A9">
              <w:rPr>
                <w:sz w:val="22"/>
                <w:szCs w:val="22"/>
                <w:lang w:val="uk-UA"/>
              </w:rPr>
              <w:t>2</w:t>
            </w:r>
          </w:p>
        </w:tc>
      </w:tr>
      <w:tr w:rsidR="00D6403C" w:rsidRPr="00364F22" w:rsidTr="00F66B25">
        <w:trPr>
          <w:trHeight w:hRule="exact" w:val="414"/>
        </w:trPr>
        <w:tc>
          <w:tcPr>
            <w:tcW w:w="5359" w:type="dxa"/>
            <w:tcBorders>
              <w:top w:val="single" w:sz="6" w:space="0" w:color="auto"/>
              <w:left w:val="single" w:sz="6" w:space="0" w:color="auto"/>
              <w:bottom w:val="single" w:sz="6" w:space="0" w:color="auto"/>
              <w:right w:val="nil"/>
            </w:tcBorders>
            <w:shd w:val="clear" w:color="auto" w:fill="FFFFFF"/>
          </w:tcPr>
          <w:p w:rsidR="00D6403C" w:rsidRPr="00364F22" w:rsidRDefault="00D6403C" w:rsidP="00F83824">
            <w:pPr>
              <w:shd w:val="clear" w:color="auto" w:fill="FFFFFF"/>
              <w:rPr>
                <w:bCs/>
                <w:spacing w:val="-3"/>
                <w:sz w:val="22"/>
                <w:szCs w:val="22"/>
                <w:lang w:val="uk-UA"/>
              </w:rPr>
            </w:pPr>
            <w:r w:rsidRPr="00364F22">
              <w:rPr>
                <w:bCs/>
                <w:spacing w:val="-3"/>
                <w:sz w:val="22"/>
                <w:szCs w:val="22"/>
                <w:lang w:val="uk-UA"/>
              </w:rPr>
              <w:t>Розрахунки зі страхування</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6F43A9" w:rsidP="00F83824">
            <w:pPr>
              <w:jc w:val="center"/>
              <w:rPr>
                <w:sz w:val="22"/>
                <w:szCs w:val="22"/>
                <w:lang w:val="uk-UA"/>
              </w:rPr>
            </w:pPr>
            <w:r>
              <w:rPr>
                <w:sz w:val="22"/>
                <w:szCs w:val="22"/>
                <w:lang w:val="uk-UA"/>
              </w:rPr>
              <w:t>14</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D6403C" w:rsidRPr="00364F22" w:rsidRDefault="00D6403C" w:rsidP="00F83824">
            <w:pPr>
              <w:jc w:val="center"/>
              <w:rPr>
                <w:sz w:val="22"/>
                <w:szCs w:val="22"/>
                <w:lang w:val="uk-UA"/>
              </w:rPr>
            </w:pPr>
            <w:r w:rsidRPr="00364F22">
              <w:rPr>
                <w:sz w:val="22"/>
                <w:szCs w:val="22"/>
                <w:lang w:val="uk-UA"/>
              </w:rPr>
              <w:t>14</w:t>
            </w:r>
          </w:p>
        </w:tc>
      </w:tr>
      <w:tr w:rsidR="00A1036C" w:rsidRPr="00364F22" w:rsidTr="00F66B25">
        <w:trPr>
          <w:trHeight w:hRule="exact" w:val="406"/>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bCs/>
                <w:spacing w:val="-3"/>
                <w:sz w:val="22"/>
                <w:szCs w:val="22"/>
                <w:lang w:val="uk-UA"/>
              </w:rPr>
            </w:pPr>
            <w:r w:rsidRPr="00364F22">
              <w:rPr>
                <w:bCs/>
                <w:spacing w:val="-3"/>
                <w:sz w:val="22"/>
                <w:szCs w:val="22"/>
                <w:lang w:val="uk-UA"/>
              </w:rPr>
              <w:t xml:space="preserve">Інші поточні зобов’язання </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D6403C" w:rsidP="006F43A9">
            <w:pPr>
              <w:jc w:val="center"/>
              <w:rPr>
                <w:sz w:val="22"/>
                <w:szCs w:val="22"/>
                <w:lang w:val="uk-UA"/>
              </w:rPr>
            </w:pPr>
            <w:r w:rsidRPr="00364F22">
              <w:rPr>
                <w:sz w:val="22"/>
                <w:szCs w:val="22"/>
                <w:lang w:val="uk-UA"/>
              </w:rPr>
              <w:t xml:space="preserve">4 </w:t>
            </w:r>
            <w:r w:rsidR="006F43A9">
              <w:rPr>
                <w:sz w:val="22"/>
                <w:szCs w:val="22"/>
                <w:lang w:val="uk-UA"/>
              </w:rPr>
              <w:t>869</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6F43A9" w:rsidP="006F43A9">
            <w:pPr>
              <w:jc w:val="center"/>
              <w:rPr>
                <w:sz w:val="22"/>
                <w:szCs w:val="22"/>
                <w:lang w:val="uk-UA"/>
              </w:rPr>
            </w:pPr>
            <w:r>
              <w:rPr>
                <w:sz w:val="22"/>
                <w:szCs w:val="22"/>
                <w:lang w:val="uk-UA"/>
              </w:rPr>
              <w:t>6</w:t>
            </w:r>
            <w:r w:rsidR="00D6403C" w:rsidRPr="00364F22">
              <w:rPr>
                <w:sz w:val="22"/>
                <w:szCs w:val="22"/>
                <w:lang w:val="uk-UA"/>
              </w:rPr>
              <w:t xml:space="preserve"> </w:t>
            </w:r>
            <w:r>
              <w:rPr>
                <w:sz w:val="22"/>
                <w:szCs w:val="22"/>
                <w:lang w:val="uk-UA"/>
              </w:rPr>
              <w:t>385</w:t>
            </w:r>
          </w:p>
        </w:tc>
      </w:tr>
      <w:tr w:rsidR="00A1036C" w:rsidRPr="00364F22" w:rsidTr="00F83824">
        <w:trPr>
          <w:trHeight w:hRule="exact" w:val="437"/>
        </w:trPr>
        <w:tc>
          <w:tcPr>
            <w:tcW w:w="5359" w:type="dxa"/>
            <w:tcBorders>
              <w:top w:val="single" w:sz="6" w:space="0" w:color="auto"/>
              <w:left w:val="single" w:sz="6" w:space="0" w:color="auto"/>
              <w:bottom w:val="single" w:sz="6" w:space="0" w:color="auto"/>
              <w:right w:val="nil"/>
            </w:tcBorders>
            <w:shd w:val="clear" w:color="auto" w:fill="FFFFFF"/>
          </w:tcPr>
          <w:p w:rsidR="00A1036C" w:rsidRPr="00364F22" w:rsidRDefault="00A1036C" w:rsidP="00F83824">
            <w:pPr>
              <w:shd w:val="clear" w:color="auto" w:fill="FFFFFF"/>
              <w:rPr>
                <w:sz w:val="22"/>
                <w:szCs w:val="22"/>
                <w:lang w:val="uk-UA"/>
              </w:rPr>
            </w:pPr>
            <w:r w:rsidRPr="00364F22">
              <w:rPr>
                <w:b/>
                <w:bCs/>
                <w:spacing w:val="-3"/>
                <w:sz w:val="22"/>
                <w:szCs w:val="22"/>
                <w:lang w:val="uk-UA"/>
              </w:rPr>
              <w:t>Всього кредиторська заборгованість</w:t>
            </w:r>
          </w:p>
        </w:tc>
        <w:tc>
          <w:tcPr>
            <w:tcW w:w="2028"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6F43A9" w:rsidP="00F83824">
            <w:pPr>
              <w:jc w:val="center"/>
              <w:rPr>
                <w:b/>
                <w:bCs/>
                <w:sz w:val="22"/>
                <w:szCs w:val="22"/>
                <w:lang w:val="uk-UA"/>
              </w:rPr>
            </w:pPr>
            <w:r>
              <w:rPr>
                <w:b/>
                <w:bCs/>
                <w:sz w:val="22"/>
                <w:szCs w:val="22"/>
                <w:lang w:val="uk-UA"/>
              </w:rPr>
              <w:t>4 976</w:t>
            </w:r>
          </w:p>
        </w:tc>
        <w:tc>
          <w:tcPr>
            <w:tcW w:w="2461" w:type="dxa"/>
            <w:tcBorders>
              <w:top w:val="single" w:sz="6" w:space="0" w:color="auto"/>
              <w:left w:val="single" w:sz="6" w:space="0" w:color="auto"/>
              <w:bottom w:val="single" w:sz="6" w:space="0" w:color="auto"/>
              <w:right w:val="single" w:sz="6" w:space="0" w:color="auto"/>
            </w:tcBorders>
            <w:shd w:val="clear" w:color="auto" w:fill="FFFFFF"/>
            <w:vAlign w:val="center"/>
          </w:tcPr>
          <w:p w:rsidR="00A1036C" w:rsidRPr="00364F22" w:rsidRDefault="00212C97" w:rsidP="00F83824">
            <w:pPr>
              <w:jc w:val="center"/>
              <w:rPr>
                <w:b/>
                <w:bCs/>
                <w:sz w:val="22"/>
                <w:szCs w:val="22"/>
                <w:lang w:val="uk-UA"/>
              </w:rPr>
            </w:pPr>
            <w:r>
              <w:rPr>
                <w:b/>
                <w:bCs/>
                <w:sz w:val="22"/>
                <w:szCs w:val="22"/>
                <w:lang w:val="uk-UA"/>
              </w:rPr>
              <w:t>6 46</w:t>
            </w:r>
            <w:r w:rsidR="00AA6080">
              <w:rPr>
                <w:b/>
                <w:bCs/>
                <w:sz w:val="22"/>
                <w:szCs w:val="22"/>
                <w:lang w:val="uk-UA"/>
              </w:rPr>
              <w:t>4</w:t>
            </w:r>
          </w:p>
        </w:tc>
      </w:tr>
    </w:tbl>
    <w:p w:rsidR="00E553C0" w:rsidRDefault="003A6270" w:rsidP="00E553C0">
      <w:pPr>
        <w:spacing w:before="120" w:after="120"/>
        <w:jc w:val="both"/>
        <w:textAlignment w:val="top"/>
        <w:rPr>
          <w:lang w:val="uk-UA"/>
        </w:rPr>
      </w:pPr>
      <w:r w:rsidRPr="00F66B25">
        <w:rPr>
          <w:lang w:val="uk-UA"/>
        </w:rPr>
        <w:t>У 2020</w:t>
      </w:r>
      <w:r w:rsidR="00E553C0" w:rsidRPr="00F66B25">
        <w:rPr>
          <w:lang w:val="uk-UA"/>
        </w:rPr>
        <w:t xml:space="preserve"> році Товариство залучало кошти у вигляді безвідсоткової поворотної фінансової допомоги від учасника Товариства у сумі 2 </w:t>
      </w:r>
      <w:r w:rsidR="00F66B25" w:rsidRPr="00F66B25">
        <w:rPr>
          <w:lang w:val="uk-UA"/>
        </w:rPr>
        <w:t>673</w:t>
      </w:r>
      <w:r w:rsidRPr="00F66B25">
        <w:rPr>
          <w:lang w:val="uk-UA"/>
        </w:rPr>
        <w:t xml:space="preserve"> тис. грн. Станом на 31.12.2020</w:t>
      </w:r>
      <w:r w:rsidR="00E553C0" w:rsidRPr="00F66B25">
        <w:rPr>
          <w:lang w:val="uk-UA"/>
        </w:rPr>
        <w:t xml:space="preserve"> року заборгованість Товариства за отриманою поворотною безвідсотковою фінансовою допомогою від у</w:t>
      </w:r>
      <w:r w:rsidR="004D726E" w:rsidRPr="00F66B25">
        <w:rPr>
          <w:lang w:val="uk-UA"/>
        </w:rPr>
        <w:t xml:space="preserve">часника Товариства складає </w:t>
      </w:r>
      <w:r w:rsidRPr="00F66B25">
        <w:rPr>
          <w:lang w:val="uk-UA"/>
        </w:rPr>
        <w:t>6</w:t>
      </w:r>
      <w:r w:rsidR="004D726E" w:rsidRPr="00F66B25">
        <w:rPr>
          <w:lang w:val="uk-UA"/>
        </w:rPr>
        <w:t xml:space="preserve"> </w:t>
      </w:r>
      <w:r w:rsidRPr="00F66B25">
        <w:rPr>
          <w:lang w:val="uk-UA"/>
        </w:rPr>
        <w:t>385</w:t>
      </w:r>
      <w:r w:rsidR="00E553C0" w:rsidRPr="00F66B25">
        <w:rPr>
          <w:lang w:val="uk-UA"/>
        </w:rPr>
        <w:t xml:space="preserve"> тис. грн.</w:t>
      </w:r>
      <w:r w:rsidR="00E553C0" w:rsidRPr="006A5689">
        <w:rPr>
          <w:lang w:val="uk-UA"/>
        </w:rPr>
        <w:t xml:space="preserve"> </w:t>
      </w:r>
    </w:p>
    <w:p w:rsidR="00420155" w:rsidRPr="00F83824" w:rsidRDefault="00420155" w:rsidP="00F83824">
      <w:pPr>
        <w:pStyle w:val="2"/>
        <w:keepNext w:val="0"/>
        <w:tabs>
          <w:tab w:val="clear" w:pos="1440"/>
        </w:tabs>
        <w:suppressAutoHyphens w:val="0"/>
        <w:spacing w:before="120" w:after="120"/>
        <w:ind w:left="0"/>
        <w:jc w:val="both"/>
        <w:rPr>
          <w:i/>
          <w:lang w:val="uk-UA"/>
        </w:rPr>
      </w:pPr>
      <w:r w:rsidRPr="00F83824">
        <w:rPr>
          <w:i/>
          <w:lang w:val="uk-UA"/>
        </w:rPr>
        <w:t>Власний капітал</w:t>
      </w:r>
    </w:p>
    <w:p w:rsidR="00F83824" w:rsidRPr="00F83824" w:rsidRDefault="00F83824" w:rsidP="00F83824">
      <w:pPr>
        <w:pStyle w:val="a0"/>
        <w:jc w:val="right"/>
        <w:rPr>
          <w:lang w:val="uk-UA"/>
        </w:rPr>
      </w:pPr>
      <w:r w:rsidRPr="00F83824">
        <w:rPr>
          <w:lang w:val="uk-UA"/>
        </w:rPr>
        <w:t>тис. грн.</w:t>
      </w:r>
    </w:p>
    <w:tbl>
      <w:tblPr>
        <w:tblW w:w="9639" w:type="dxa"/>
        <w:tblInd w:w="5" w:type="dxa"/>
        <w:tblLayout w:type="fixed"/>
        <w:tblCellMar>
          <w:left w:w="0" w:type="dxa"/>
          <w:right w:w="0" w:type="dxa"/>
        </w:tblCellMar>
        <w:tblLook w:val="0000" w:firstRow="0" w:lastRow="0" w:firstColumn="0" w:lastColumn="0" w:noHBand="0" w:noVBand="0"/>
      </w:tblPr>
      <w:tblGrid>
        <w:gridCol w:w="4027"/>
        <w:gridCol w:w="3203"/>
        <w:gridCol w:w="2409"/>
      </w:tblGrid>
      <w:tr w:rsidR="00F83824" w:rsidTr="00B274B7">
        <w:trPr>
          <w:trHeight w:hRule="exact" w:val="562"/>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ind w:right="10" w:hanging="6"/>
              <w:jc w:val="center"/>
              <w:rPr>
                <w:b/>
                <w:lang w:val="uk-UA"/>
              </w:rPr>
            </w:pPr>
            <w:r w:rsidRPr="00F83824">
              <w:rPr>
                <w:b/>
                <w:lang w:val="uk-UA"/>
              </w:rPr>
              <w:t>Н</w:t>
            </w:r>
            <w:r w:rsidRPr="00F83824">
              <w:rPr>
                <w:b/>
                <w:spacing w:val="-1"/>
                <w:lang w:val="uk-UA"/>
              </w:rPr>
              <w:t>а</w:t>
            </w:r>
            <w:r w:rsidRPr="00F83824">
              <w:rPr>
                <w:b/>
                <w:spacing w:val="1"/>
                <w:lang w:val="uk-UA"/>
              </w:rPr>
              <w:t>й</w:t>
            </w:r>
            <w:r w:rsidRPr="00F83824">
              <w:rPr>
                <w:b/>
                <w:spacing w:val="-1"/>
                <w:lang w:val="uk-UA"/>
              </w:rPr>
              <w:t>ме</w:t>
            </w:r>
            <w:r w:rsidRPr="00F83824">
              <w:rPr>
                <w:b/>
                <w:spacing w:val="3"/>
                <w:lang w:val="uk-UA"/>
              </w:rPr>
              <w:t>н</w:t>
            </w:r>
            <w:r w:rsidRPr="00F83824">
              <w:rPr>
                <w:b/>
                <w:spacing w:val="-5"/>
                <w:lang w:val="uk-UA"/>
              </w:rPr>
              <w:t>у</w:t>
            </w:r>
            <w:r w:rsidRPr="00F83824">
              <w:rPr>
                <w:b/>
                <w:spacing w:val="2"/>
                <w:lang w:val="uk-UA"/>
              </w:rPr>
              <w:t>в</w:t>
            </w:r>
            <w:r w:rsidRPr="00F83824">
              <w:rPr>
                <w:b/>
                <w:spacing w:val="-1"/>
                <w:lang w:val="uk-UA"/>
              </w:rPr>
              <w:t>а</w:t>
            </w:r>
            <w:r w:rsidRPr="00F83824">
              <w:rPr>
                <w:b/>
                <w:spacing w:val="1"/>
                <w:lang w:val="uk-UA"/>
              </w:rPr>
              <w:t>нн</w:t>
            </w:r>
            <w:r w:rsidRPr="00F83824">
              <w:rPr>
                <w:b/>
                <w:lang w:val="uk-UA"/>
              </w:rPr>
              <w:t xml:space="preserve">я </w:t>
            </w:r>
            <w:r w:rsidRPr="00F83824">
              <w:rPr>
                <w:b/>
                <w:spacing w:val="-1"/>
                <w:lang w:val="uk-UA"/>
              </w:rPr>
              <w:t>с</w:t>
            </w:r>
            <w:r w:rsidRPr="00F83824">
              <w:rPr>
                <w:b/>
                <w:lang w:val="uk-UA"/>
              </w:rPr>
              <w:t>тат</w:t>
            </w:r>
            <w:r w:rsidRPr="00F83824">
              <w:rPr>
                <w:b/>
                <w:spacing w:val="1"/>
                <w:lang w:val="uk-UA"/>
              </w:rPr>
              <w:t>т</w:t>
            </w:r>
            <w:r w:rsidRPr="00F83824">
              <w:rPr>
                <w:b/>
                <w:lang w:val="uk-UA"/>
              </w:rPr>
              <w:t>і</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ind w:right="10" w:hanging="6"/>
              <w:jc w:val="center"/>
              <w:rPr>
                <w:b/>
                <w:lang w:val="uk-UA"/>
              </w:rPr>
            </w:pPr>
            <w:r w:rsidRPr="00F83824">
              <w:rPr>
                <w:b/>
                <w:lang w:val="uk-UA"/>
              </w:rPr>
              <w:t>31.12.201</w:t>
            </w:r>
            <w:r w:rsidR="00C1494B">
              <w:rPr>
                <w:b/>
                <w:lang w:val="uk-UA"/>
              </w:rPr>
              <w:t>9</w:t>
            </w:r>
          </w:p>
        </w:tc>
        <w:tc>
          <w:tcPr>
            <w:tcW w:w="2409" w:type="dxa"/>
            <w:tcBorders>
              <w:top w:val="single" w:sz="4" w:space="0" w:color="000000"/>
              <w:left w:val="single" w:sz="4" w:space="0" w:color="000000"/>
              <w:bottom w:val="single" w:sz="4" w:space="0" w:color="000000"/>
              <w:right w:val="single" w:sz="4" w:space="0" w:color="000000"/>
            </w:tcBorders>
          </w:tcPr>
          <w:p w:rsidR="00F83824" w:rsidRPr="00F83824" w:rsidRDefault="00C1494B" w:rsidP="00F83824">
            <w:pPr>
              <w:autoSpaceDE w:val="0"/>
              <w:autoSpaceDN w:val="0"/>
              <w:adjustRightInd w:val="0"/>
              <w:ind w:right="10" w:hanging="6"/>
              <w:jc w:val="center"/>
              <w:rPr>
                <w:b/>
                <w:lang w:val="uk-UA"/>
              </w:rPr>
            </w:pPr>
            <w:r>
              <w:rPr>
                <w:b/>
                <w:lang w:val="uk-UA"/>
              </w:rPr>
              <w:t>31.12.2020</w:t>
            </w:r>
          </w:p>
        </w:tc>
      </w:tr>
      <w:tr w:rsidR="00F83824" w:rsidTr="00F66B25">
        <w:trPr>
          <w:trHeight w:hRule="exact" w:val="393"/>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tabs>
                <w:tab w:val="left" w:pos="2400"/>
              </w:tabs>
              <w:autoSpaceDE w:val="0"/>
              <w:autoSpaceDN w:val="0"/>
              <w:adjustRightInd w:val="0"/>
              <w:spacing w:line="269" w:lineRule="exact"/>
              <w:ind w:right="10" w:hanging="6"/>
              <w:rPr>
                <w:lang w:val="uk-UA"/>
              </w:rPr>
            </w:pPr>
            <w:r w:rsidRPr="00F83824">
              <w:rPr>
                <w:lang w:val="uk-UA"/>
              </w:rPr>
              <w:t>З</w:t>
            </w:r>
            <w:r w:rsidRPr="00F83824">
              <w:rPr>
                <w:spacing w:val="-1"/>
                <w:lang w:val="uk-UA"/>
              </w:rPr>
              <w:t>а</w:t>
            </w:r>
            <w:r w:rsidRPr="00F83824">
              <w:rPr>
                <w:lang w:val="uk-UA"/>
              </w:rPr>
              <w:t>р</w:t>
            </w:r>
            <w:r w:rsidRPr="00F83824">
              <w:rPr>
                <w:spacing w:val="-1"/>
                <w:lang w:val="uk-UA"/>
              </w:rPr>
              <w:t>е</w:t>
            </w:r>
            <w:r w:rsidRPr="00F83824">
              <w:rPr>
                <w:lang w:val="uk-UA"/>
              </w:rPr>
              <w:t>є</w:t>
            </w:r>
            <w:r w:rsidRPr="00F83824">
              <w:rPr>
                <w:spacing w:val="-1"/>
                <w:lang w:val="uk-UA"/>
              </w:rPr>
              <w:t>с</w:t>
            </w:r>
            <w:r w:rsidRPr="00F83824">
              <w:rPr>
                <w:lang w:val="uk-UA"/>
              </w:rPr>
              <w:t>тро</w:t>
            </w:r>
            <w:r w:rsidRPr="00F83824">
              <w:rPr>
                <w:spacing w:val="2"/>
                <w:lang w:val="uk-UA"/>
              </w:rPr>
              <w:t>в</w:t>
            </w:r>
            <w:r w:rsidRPr="00F83824">
              <w:rPr>
                <w:spacing w:val="-1"/>
                <w:lang w:val="uk-UA"/>
              </w:rPr>
              <w:t>а</w:t>
            </w:r>
            <w:r w:rsidRPr="00F83824">
              <w:rPr>
                <w:spacing w:val="1"/>
                <w:lang w:val="uk-UA"/>
              </w:rPr>
              <w:t>ни</w:t>
            </w:r>
            <w:r w:rsidRPr="00F83824">
              <w:rPr>
                <w:lang w:val="uk-UA"/>
              </w:rPr>
              <w:t>й (пайов</w:t>
            </w:r>
            <w:r w:rsidRPr="00F83824">
              <w:rPr>
                <w:spacing w:val="1"/>
                <w:lang w:val="uk-UA"/>
              </w:rPr>
              <w:t>ий</w:t>
            </w:r>
            <w:r w:rsidRPr="00F83824">
              <w:rPr>
                <w:lang w:val="uk-UA"/>
              </w:rPr>
              <w:t xml:space="preserve">) </w:t>
            </w:r>
            <w:r w:rsidRPr="00F83824">
              <w:rPr>
                <w:spacing w:val="1"/>
                <w:lang w:val="uk-UA"/>
              </w:rPr>
              <w:t>к</w:t>
            </w:r>
            <w:r w:rsidRPr="00F83824">
              <w:rPr>
                <w:spacing w:val="-1"/>
                <w:lang w:val="uk-UA"/>
              </w:rPr>
              <w:t>а</w:t>
            </w:r>
            <w:r w:rsidRPr="00F83824">
              <w:rPr>
                <w:spacing w:val="1"/>
                <w:lang w:val="uk-UA"/>
              </w:rPr>
              <w:t>пі</w:t>
            </w:r>
            <w:r w:rsidRPr="00F83824">
              <w:rPr>
                <w:lang w:val="uk-UA"/>
              </w:rPr>
              <w:t>тал</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ind w:right="10" w:hanging="6"/>
              <w:jc w:val="center"/>
              <w:rPr>
                <w:lang w:val="uk-UA"/>
              </w:rPr>
            </w:pPr>
            <w:r>
              <w:rPr>
                <w:lang w:val="uk-UA"/>
              </w:rPr>
              <w:t>1 500</w:t>
            </w:r>
          </w:p>
        </w:tc>
        <w:tc>
          <w:tcPr>
            <w:tcW w:w="2409" w:type="dxa"/>
            <w:tcBorders>
              <w:top w:val="single" w:sz="4" w:space="0" w:color="000000"/>
              <w:left w:val="single" w:sz="4" w:space="0" w:color="000000"/>
              <w:bottom w:val="single" w:sz="4" w:space="0" w:color="000000"/>
              <w:right w:val="single" w:sz="4" w:space="0" w:color="000000"/>
            </w:tcBorders>
          </w:tcPr>
          <w:p w:rsidR="00F83824" w:rsidRPr="00B12671" w:rsidRDefault="00F83824" w:rsidP="00F83824">
            <w:pPr>
              <w:autoSpaceDE w:val="0"/>
              <w:autoSpaceDN w:val="0"/>
              <w:adjustRightInd w:val="0"/>
              <w:ind w:right="10" w:hanging="6"/>
              <w:jc w:val="center"/>
              <w:rPr>
                <w:lang w:val="uk-UA"/>
              </w:rPr>
            </w:pPr>
            <w:r>
              <w:rPr>
                <w:lang w:val="uk-UA"/>
              </w:rPr>
              <w:t>1 500</w:t>
            </w:r>
          </w:p>
        </w:tc>
      </w:tr>
      <w:tr w:rsidR="00F83824" w:rsidTr="00B274B7">
        <w:trPr>
          <w:trHeight w:hRule="exact" w:val="356"/>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line="269" w:lineRule="exact"/>
              <w:ind w:right="10" w:hanging="6"/>
              <w:rPr>
                <w:lang w:val="uk-UA"/>
              </w:rPr>
            </w:pPr>
            <w:r w:rsidRPr="00F83824">
              <w:rPr>
                <w:lang w:val="uk-UA"/>
              </w:rPr>
              <w:t>Н</w:t>
            </w:r>
            <w:r w:rsidRPr="00F83824">
              <w:rPr>
                <w:spacing w:val="-1"/>
                <w:lang w:val="uk-UA"/>
              </w:rPr>
              <w:t>е</w:t>
            </w:r>
            <w:r w:rsidRPr="00F83824">
              <w:rPr>
                <w:lang w:val="uk-UA"/>
              </w:rPr>
              <w:t>о</w:t>
            </w:r>
            <w:r w:rsidRPr="00F83824">
              <w:rPr>
                <w:spacing w:val="1"/>
                <w:lang w:val="uk-UA"/>
              </w:rPr>
              <w:t>п</w:t>
            </w:r>
            <w:r w:rsidRPr="00F83824">
              <w:rPr>
                <w:lang w:val="uk-UA"/>
              </w:rPr>
              <w:t>л</w:t>
            </w:r>
            <w:r w:rsidRPr="00F83824">
              <w:rPr>
                <w:spacing w:val="-1"/>
                <w:lang w:val="uk-UA"/>
              </w:rPr>
              <w:t>аче</w:t>
            </w:r>
            <w:r w:rsidRPr="00F83824">
              <w:rPr>
                <w:spacing w:val="1"/>
                <w:lang w:val="uk-UA"/>
              </w:rPr>
              <w:t>ни</w:t>
            </w:r>
            <w:r w:rsidRPr="00F83824">
              <w:rPr>
                <w:lang w:val="uk-UA"/>
              </w:rPr>
              <w:t>й</w:t>
            </w:r>
            <w:r w:rsidRPr="00F83824">
              <w:rPr>
                <w:spacing w:val="1"/>
                <w:lang w:val="uk-UA"/>
              </w:rPr>
              <w:t xml:space="preserve"> к</w:t>
            </w:r>
            <w:r w:rsidRPr="00F83824">
              <w:rPr>
                <w:spacing w:val="-1"/>
                <w:lang w:val="uk-UA"/>
              </w:rPr>
              <w:t>а</w:t>
            </w:r>
            <w:r w:rsidRPr="00F83824">
              <w:rPr>
                <w:spacing w:val="1"/>
                <w:lang w:val="uk-UA"/>
              </w:rPr>
              <w:t>п</w:t>
            </w:r>
            <w:r w:rsidRPr="00F83824">
              <w:rPr>
                <w:lang w:val="uk-UA"/>
              </w:rPr>
              <w:t>і</w:t>
            </w:r>
            <w:r w:rsidRPr="00F83824">
              <w:rPr>
                <w:spacing w:val="1"/>
                <w:lang w:val="uk-UA"/>
              </w:rPr>
              <w:t>т</w:t>
            </w:r>
            <w:r w:rsidRPr="00F83824">
              <w:rPr>
                <w:spacing w:val="-1"/>
                <w:lang w:val="uk-UA"/>
              </w:rPr>
              <w:t>а</w:t>
            </w:r>
            <w:r w:rsidRPr="00F83824">
              <w:rPr>
                <w:lang w:val="uk-UA"/>
              </w:rPr>
              <w:t>л</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before="30"/>
              <w:ind w:right="10" w:hanging="6"/>
              <w:jc w:val="center"/>
              <w:rPr>
                <w:lang w:val="uk-UA"/>
              </w:rPr>
            </w:pPr>
            <w:r>
              <w:rPr>
                <w:lang w:val="uk-UA"/>
              </w:rPr>
              <w:t>(412)</w:t>
            </w:r>
          </w:p>
        </w:tc>
        <w:tc>
          <w:tcPr>
            <w:tcW w:w="2409" w:type="dxa"/>
            <w:tcBorders>
              <w:top w:val="single" w:sz="4" w:space="0" w:color="000000"/>
              <w:left w:val="single" w:sz="4" w:space="0" w:color="000000"/>
              <w:bottom w:val="single" w:sz="4" w:space="0" w:color="000000"/>
              <w:right w:val="single" w:sz="4" w:space="0" w:color="000000"/>
            </w:tcBorders>
          </w:tcPr>
          <w:p w:rsidR="00F83824" w:rsidRPr="00B12671" w:rsidRDefault="00F83824" w:rsidP="00F83824">
            <w:pPr>
              <w:autoSpaceDE w:val="0"/>
              <w:autoSpaceDN w:val="0"/>
              <w:adjustRightInd w:val="0"/>
              <w:spacing w:before="30"/>
              <w:ind w:right="10" w:hanging="6"/>
              <w:jc w:val="center"/>
              <w:rPr>
                <w:lang w:val="uk-UA"/>
              </w:rPr>
            </w:pPr>
            <w:r>
              <w:rPr>
                <w:lang w:val="uk-UA"/>
              </w:rPr>
              <w:t>(412)</w:t>
            </w:r>
          </w:p>
        </w:tc>
      </w:tr>
      <w:tr w:rsidR="00F83824" w:rsidTr="00B274B7">
        <w:trPr>
          <w:trHeight w:hRule="exact" w:val="562"/>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tabs>
                <w:tab w:val="left" w:pos="2460"/>
              </w:tabs>
              <w:autoSpaceDE w:val="0"/>
              <w:autoSpaceDN w:val="0"/>
              <w:adjustRightInd w:val="0"/>
              <w:spacing w:line="269" w:lineRule="exact"/>
              <w:ind w:right="10" w:hanging="6"/>
              <w:rPr>
                <w:lang w:val="uk-UA"/>
              </w:rPr>
            </w:pPr>
            <w:r w:rsidRPr="00F83824">
              <w:rPr>
                <w:lang w:val="uk-UA"/>
              </w:rPr>
              <w:t>Н</w:t>
            </w:r>
            <w:r w:rsidRPr="00F83824">
              <w:rPr>
                <w:spacing w:val="-1"/>
                <w:lang w:val="uk-UA"/>
              </w:rPr>
              <w:t>е</w:t>
            </w:r>
            <w:r w:rsidRPr="00F83824">
              <w:rPr>
                <w:lang w:val="uk-UA"/>
              </w:rPr>
              <w:t>ро</w:t>
            </w:r>
            <w:r w:rsidRPr="00F83824">
              <w:rPr>
                <w:spacing w:val="1"/>
                <w:lang w:val="uk-UA"/>
              </w:rPr>
              <w:t>зп</w:t>
            </w:r>
            <w:r w:rsidRPr="00F83824">
              <w:rPr>
                <w:lang w:val="uk-UA"/>
              </w:rPr>
              <w:t>оді</w:t>
            </w:r>
            <w:r w:rsidRPr="00F83824">
              <w:rPr>
                <w:spacing w:val="1"/>
                <w:lang w:val="uk-UA"/>
              </w:rPr>
              <w:t>л</w:t>
            </w:r>
            <w:r w:rsidRPr="00F83824">
              <w:rPr>
                <w:spacing w:val="-1"/>
                <w:lang w:val="uk-UA"/>
              </w:rPr>
              <w:t>е</w:t>
            </w:r>
            <w:r w:rsidRPr="00F83824">
              <w:rPr>
                <w:spacing w:val="1"/>
                <w:lang w:val="uk-UA"/>
              </w:rPr>
              <w:t>н</w:t>
            </w:r>
            <w:r w:rsidRPr="00F83824">
              <w:rPr>
                <w:spacing w:val="-1"/>
                <w:lang w:val="uk-UA"/>
              </w:rPr>
              <w:t>и</w:t>
            </w:r>
            <w:r w:rsidRPr="00F83824">
              <w:rPr>
                <w:lang w:val="uk-UA"/>
              </w:rPr>
              <w:t xml:space="preserve">й </w:t>
            </w:r>
            <w:r w:rsidRPr="00F83824">
              <w:rPr>
                <w:spacing w:val="1"/>
                <w:lang w:val="uk-UA"/>
              </w:rPr>
              <w:t>п</w:t>
            </w:r>
            <w:r w:rsidRPr="00F83824">
              <w:rPr>
                <w:lang w:val="uk-UA"/>
              </w:rPr>
              <w:t>р</w:t>
            </w:r>
            <w:r w:rsidRPr="00F83824">
              <w:rPr>
                <w:spacing w:val="1"/>
                <w:lang w:val="uk-UA"/>
              </w:rPr>
              <w:t>и</w:t>
            </w:r>
            <w:r w:rsidRPr="00F83824">
              <w:rPr>
                <w:spacing w:val="2"/>
                <w:lang w:val="uk-UA"/>
              </w:rPr>
              <w:t>б</w:t>
            </w:r>
            <w:r w:rsidRPr="00F83824">
              <w:rPr>
                <w:spacing w:val="-7"/>
                <w:lang w:val="uk-UA"/>
              </w:rPr>
              <w:t>у</w:t>
            </w:r>
            <w:r w:rsidRPr="00F83824">
              <w:rPr>
                <w:lang w:val="uk-UA"/>
              </w:rPr>
              <w:t>ток (непо</w:t>
            </w:r>
            <w:r w:rsidRPr="00F83824">
              <w:rPr>
                <w:spacing w:val="1"/>
                <w:lang w:val="uk-UA"/>
              </w:rPr>
              <w:t>к</w:t>
            </w:r>
            <w:r w:rsidRPr="00F83824">
              <w:rPr>
                <w:lang w:val="uk-UA"/>
              </w:rPr>
              <w:t>р</w:t>
            </w:r>
            <w:r w:rsidRPr="00F83824">
              <w:rPr>
                <w:spacing w:val="1"/>
                <w:lang w:val="uk-UA"/>
              </w:rPr>
              <w:t>и</w:t>
            </w:r>
            <w:r w:rsidRPr="00F83824">
              <w:rPr>
                <w:spacing w:val="-2"/>
                <w:lang w:val="uk-UA"/>
              </w:rPr>
              <w:t>т</w:t>
            </w:r>
            <w:r w:rsidRPr="00F83824">
              <w:rPr>
                <w:spacing w:val="1"/>
                <w:lang w:val="uk-UA"/>
              </w:rPr>
              <w:t>и</w:t>
            </w:r>
            <w:r w:rsidRPr="00F83824">
              <w:rPr>
                <w:lang w:val="uk-UA"/>
              </w:rPr>
              <w:t>й</w:t>
            </w:r>
            <w:r w:rsidRPr="00F83824">
              <w:rPr>
                <w:spacing w:val="-1"/>
                <w:lang w:val="uk-UA"/>
              </w:rPr>
              <w:t xml:space="preserve"> </w:t>
            </w:r>
            <w:r w:rsidRPr="00F83824">
              <w:rPr>
                <w:spacing w:val="1"/>
                <w:lang w:val="uk-UA"/>
              </w:rPr>
              <w:t>з</w:t>
            </w:r>
            <w:r w:rsidRPr="00F83824">
              <w:rPr>
                <w:lang w:val="uk-UA"/>
              </w:rPr>
              <w:t>б</w:t>
            </w:r>
            <w:r w:rsidRPr="00F83824">
              <w:rPr>
                <w:spacing w:val="-1"/>
                <w:lang w:val="uk-UA"/>
              </w:rPr>
              <w:t>и</w:t>
            </w:r>
            <w:r w:rsidRPr="00F83824">
              <w:rPr>
                <w:lang w:val="uk-UA"/>
              </w:rPr>
              <w:t>то</w:t>
            </w:r>
            <w:r w:rsidRPr="00F83824">
              <w:rPr>
                <w:spacing w:val="1"/>
                <w:lang w:val="uk-UA"/>
              </w:rPr>
              <w:t>к</w:t>
            </w:r>
            <w:r w:rsidRPr="00F83824">
              <w:rPr>
                <w:lang w:val="uk-UA"/>
              </w:rPr>
              <w:t>)</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C1494B" w:rsidP="00F83824">
            <w:pPr>
              <w:autoSpaceDE w:val="0"/>
              <w:autoSpaceDN w:val="0"/>
              <w:adjustRightInd w:val="0"/>
              <w:ind w:right="10" w:hanging="6"/>
              <w:jc w:val="center"/>
              <w:rPr>
                <w:lang w:val="uk-UA"/>
              </w:rPr>
            </w:pPr>
            <w:r>
              <w:rPr>
                <w:lang w:val="uk-UA"/>
              </w:rPr>
              <w:t>588</w:t>
            </w:r>
          </w:p>
        </w:tc>
        <w:tc>
          <w:tcPr>
            <w:tcW w:w="2409" w:type="dxa"/>
            <w:tcBorders>
              <w:top w:val="single" w:sz="4" w:space="0" w:color="000000"/>
              <w:left w:val="single" w:sz="4" w:space="0" w:color="000000"/>
              <w:bottom w:val="single" w:sz="4" w:space="0" w:color="000000"/>
              <w:right w:val="single" w:sz="4" w:space="0" w:color="000000"/>
            </w:tcBorders>
          </w:tcPr>
          <w:p w:rsidR="00F83824" w:rsidRPr="00B12671" w:rsidRDefault="00C1494B" w:rsidP="00F83824">
            <w:pPr>
              <w:autoSpaceDE w:val="0"/>
              <w:autoSpaceDN w:val="0"/>
              <w:adjustRightInd w:val="0"/>
              <w:ind w:right="10" w:hanging="6"/>
              <w:jc w:val="center"/>
              <w:rPr>
                <w:lang w:val="uk-UA"/>
              </w:rPr>
            </w:pPr>
            <w:r>
              <w:rPr>
                <w:lang w:val="uk-UA"/>
              </w:rPr>
              <w:t>67</w:t>
            </w:r>
            <w:r w:rsidR="00AA6080">
              <w:rPr>
                <w:lang w:val="uk-UA"/>
              </w:rPr>
              <w:t>4</w:t>
            </w:r>
          </w:p>
        </w:tc>
      </w:tr>
      <w:tr w:rsidR="00F83824" w:rsidTr="00B274B7">
        <w:trPr>
          <w:trHeight w:hRule="exact" w:val="355"/>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line="269" w:lineRule="exact"/>
              <w:ind w:right="10" w:hanging="6"/>
              <w:rPr>
                <w:lang w:val="uk-UA"/>
              </w:rPr>
            </w:pPr>
            <w:r w:rsidRPr="00F83824">
              <w:rPr>
                <w:spacing w:val="1"/>
                <w:lang w:val="uk-UA"/>
              </w:rPr>
              <w:t>Р</w:t>
            </w:r>
            <w:r w:rsidRPr="00F83824">
              <w:rPr>
                <w:spacing w:val="-1"/>
                <w:lang w:val="uk-UA"/>
              </w:rPr>
              <w:t>е</w:t>
            </w:r>
            <w:r w:rsidRPr="00F83824">
              <w:rPr>
                <w:spacing w:val="1"/>
                <w:lang w:val="uk-UA"/>
              </w:rPr>
              <w:t>з</w:t>
            </w:r>
            <w:r w:rsidRPr="00F83824">
              <w:rPr>
                <w:spacing w:val="-1"/>
                <w:lang w:val="uk-UA"/>
              </w:rPr>
              <w:t>е</w:t>
            </w:r>
            <w:r w:rsidRPr="00F83824">
              <w:rPr>
                <w:lang w:val="uk-UA"/>
              </w:rPr>
              <w:t>рвн</w:t>
            </w:r>
            <w:r w:rsidRPr="00F83824">
              <w:rPr>
                <w:spacing w:val="1"/>
                <w:lang w:val="uk-UA"/>
              </w:rPr>
              <w:t>и</w:t>
            </w:r>
            <w:r w:rsidRPr="00F83824">
              <w:rPr>
                <w:lang w:val="uk-UA"/>
              </w:rPr>
              <w:t>й</w:t>
            </w:r>
            <w:r w:rsidRPr="00F83824">
              <w:rPr>
                <w:spacing w:val="-1"/>
                <w:lang w:val="uk-UA"/>
              </w:rPr>
              <w:t xml:space="preserve"> </w:t>
            </w:r>
            <w:r w:rsidRPr="00F83824">
              <w:rPr>
                <w:spacing w:val="1"/>
                <w:lang w:val="uk-UA"/>
              </w:rPr>
              <w:t>к</w:t>
            </w:r>
            <w:r w:rsidRPr="00F83824">
              <w:rPr>
                <w:spacing w:val="-1"/>
                <w:lang w:val="uk-UA"/>
              </w:rPr>
              <w:t>а</w:t>
            </w:r>
            <w:r w:rsidRPr="00F83824">
              <w:rPr>
                <w:spacing w:val="1"/>
                <w:lang w:val="uk-UA"/>
              </w:rPr>
              <w:t>п</w:t>
            </w:r>
            <w:r w:rsidRPr="00F83824">
              <w:rPr>
                <w:lang w:val="uk-UA"/>
              </w:rPr>
              <w:t>і</w:t>
            </w:r>
            <w:r w:rsidRPr="00F83824">
              <w:rPr>
                <w:spacing w:val="1"/>
                <w:lang w:val="uk-UA"/>
              </w:rPr>
              <w:t>т</w:t>
            </w:r>
            <w:r w:rsidRPr="00F83824">
              <w:rPr>
                <w:spacing w:val="-1"/>
                <w:lang w:val="uk-UA"/>
              </w:rPr>
              <w:t>а</w:t>
            </w:r>
            <w:r w:rsidRPr="00F83824">
              <w:rPr>
                <w:lang w:val="uk-UA"/>
              </w:rPr>
              <w:t>л</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C1494B" w:rsidP="00F83824">
            <w:pPr>
              <w:autoSpaceDE w:val="0"/>
              <w:autoSpaceDN w:val="0"/>
              <w:adjustRightInd w:val="0"/>
              <w:spacing w:before="29"/>
              <w:ind w:right="10" w:hanging="6"/>
              <w:jc w:val="center"/>
              <w:rPr>
                <w:lang w:val="uk-UA"/>
              </w:rPr>
            </w:pPr>
            <w:r>
              <w:rPr>
                <w:lang w:val="uk-UA"/>
              </w:rPr>
              <w:t>31</w:t>
            </w:r>
          </w:p>
        </w:tc>
        <w:tc>
          <w:tcPr>
            <w:tcW w:w="2409" w:type="dxa"/>
            <w:tcBorders>
              <w:top w:val="single" w:sz="4" w:space="0" w:color="000000"/>
              <w:left w:val="single" w:sz="4" w:space="0" w:color="000000"/>
              <w:bottom w:val="single" w:sz="4" w:space="0" w:color="000000"/>
              <w:right w:val="single" w:sz="4" w:space="0" w:color="000000"/>
            </w:tcBorders>
          </w:tcPr>
          <w:p w:rsidR="00F83824" w:rsidRPr="00B12671" w:rsidRDefault="00C1494B" w:rsidP="00F83824">
            <w:pPr>
              <w:autoSpaceDE w:val="0"/>
              <w:autoSpaceDN w:val="0"/>
              <w:adjustRightInd w:val="0"/>
              <w:spacing w:before="29"/>
              <w:ind w:right="10" w:hanging="6"/>
              <w:jc w:val="center"/>
              <w:rPr>
                <w:lang w:val="uk-UA"/>
              </w:rPr>
            </w:pPr>
            <w:r>
              <w:rPr>
                <w:lang w:val="uk-UA"/>
              </w:rPr>
              <w:t>38</w:t>
            </w:r>
          </w:p>
        </w:tc>
      </w:tr>
      <w:tr w:rsidR="00F83824" w:rsidTr="00B274B7">
        <w:trPr>
          <w:trHeight w:hRule="exact" w:val="355"/>
        </w:trPr>
        <w:tc>
          <w:tcPr>
            <w:tcW w:w="4027" w:type="dxa"/>
            <w:tcBorders>
              <w:top w:val="single" w:sz="4" w:space="0" w:color="000000"/>
              <w:left w:val="single" w:sz="4" w:space="0" w:color="000000"/>
              <w:bottom w:val="single" w:sz="4" w:space="0" w:color="000000"/>
              <w:right w:val="single" w:sz="4" w:space="0" w:color="000000"/>
            </w:tcBorders>
          </w:tcPr>
          <w:p w:rsidR="00F83824" w:rsidRPr="00F83824" w:rsidRDefault="00F83824" w:rsidP="00F83824">
            <w:pPr>
              <w:autoSpaceDE w:val="0"/>
              <w:autoSpaceDN w:val="0"/>
              <w:adjustRightInd w:val="0"/>
              <w:spacing w:line="269" w:lineRule="exact"/>
              <w:ind w:right="10" w:hanging="6"/>
              <w:rPr>
                <w:b/>
                <w:lang w:val="uk-UA"/>
              </w:rPr>
            </w:pPr>
            <w:r w:rsidRPr="00F83824">
              <w:rPr>
                <w:b/>
                <w:spacing w:val="-2"/>
                <w:lang w:val="uk-UA"/>
              </w:rPr>
              <w:t>Всього в</w:t>
            </w:r>
            <w:r w:rsidRPr="00F83824">
              <w:rPr>
                <w:b/>
                <w:lang w:val="uk-UA"/>
              </w:rPr>
              <w:t>л</w:t>
            </w:r>
            <w:r w:rsidRPr="00F83824">
              <w:rPr>
                <w:b/>
                <w:spacing w:val="-1"/>
                <w:lang w:val="uk-UA"/>
              </w:rPr>
              <w:t>ас</w:t>
            </w:r>
            <w:r w:rsidRPr="00F83824">
              <w:rPr>
                <w:b/>
                <w:spacing w:val="1"/>
                <w:lang w:val="uk-UA"/>
              </w:rPr>
              <w:t>ни</w:t>
            </w:r>
            <w:r w:rsidRPr="00F83824">
              <w:rPr>
                <w:b/>
                <w:lang w:val="uk-UA"/>
              </w:rPr>
              <w:t>й</w:t>
            </w:r>
            <w:r w:rsidRPr="00F83824">
              <w:rPr>
                <w:b/>
                <w:spacing w:val="1"/>
                <w:lang w:val="uk-UA"/>
              </w:rPr>
              <w:t xml:space="preserve"> к</w:t>
            </w:r>
            <w:r w:rsidRPr="00F83824">
              <w:rPr>
                <w:b/>
                <w:spacing w:val="-1"/>
                <w:lang w:val="uk-UA"/>
              </w:rPr>
              <w:t>а</w:t>
            </w:r>
            <w:r w:rsidRPr="00F83824">
              <w:rPr>
                <w:b/>
                <w:spacing w:val="1"/>
                <w:lang w:val="uk-UA"/>
              </w:rPr>
              <w:t>п</w:t>
            </w:r>
            <w:r w:rsidRPr="00F83824">
              <w:rPr>
                <w:b/>
                <w:lang w:val="uk-UA"/>
              </w:rPr>
              <w:t>і</w:t>
            </w:r>
            <w:r w:rsidRPr="00F83824">
              <w:rPr>
                <w:b/>
                <w:spacing w:val="1"/>
                <w:lang w:val="uk-UA"/>
              </w:rPr>
              <w:t>т</w:t>
            </w:r>
            <w:r w:rsidRPr="00F83824">
              <w:rPr>
                <w:b/>
                <w:spacing w:val="-1"/>
                <w:lang w:val="uk-UA"/>
              </w:rPr>
              <w:t>а</w:t>
            </w:r>
            <w:r w:rsidRPr="00F83824">
              <w:rPr>
                <w:b/>
                <w:lang w:val="uk-UA"/>
              </w:rPr>
              <w:t>л</w:t>
            </w:r>
          </w:p>
        </w:tc>
        <w:tc>
          <w:tcPr>
            <w:tcW w:w="3203" w:type="dxa"/>
            <w:tcBorders>
              <w:top w:val="single" w:sz="4" w:space="0" w:color="000000"/>
              <w:left w:val="single" w:sz="4" w:space="0" w:color="000000"/>
              <w:bottom w:val="single" w:sz="4" w:space="0" w:color="000000"/>
              <w:right w:val="single" w:sz="4" w:space="0" w:color="000000"/>
            </w:tcBorders>
          </w:tcPr>
          <w:p w:rsidR="00F83824" w:rsidRPr="00F83824" w:rsidRDefault="00C1494B" w:rsidP="00F83824">
            <w:pPr>
              <w:autoSpaceDE w:val="0"/>
              <w:autoSpaceDN w:val="0"/>
              <w:adjustRightInd w:val="0"/>
              <w:spacing w:before="29"/>
              <w:ind w:right="10" w:hanging="6"/>
              <w:jc w:val="center"/>
              <w:rPr>
                <w:b/>
                <w:lang w:val="uk-UA"/>
              </w:rPr>
            </w:pPr>
            <w:r>
              <w:rPr>
                <w:b/>
                <w:lang w:val="uk-UA"/>
              </w:rPr>
              <w:t>1 707</w:t>
            </w:r>
          </w:p>
        </w:tc>
        <w:tc>
          <w:tcPr>
            <w:tcW w:w="2409" w:type="dxa"/>
            <w:tcBorders>
              <w:top w:val="single" w:sz="4" w:space="0" w:color="000000"/>
              <w:left w:val="single" w:sz="4" w:space="0" w:color="000000"/>
              <w:bottom w:val="single" w:sz="4" w:space="0" w:color="000000"/>
              <w:right w:val="single" w:sz="4" w:space="0" w:color="000000"/>
            </w:tcBorders>
          </w:tcPr>
          <w:p w:rsidR="00F83824" w:rsidRPr="00F83824" w:rsidRDefault="00F83824" w:rsidP="00C1494B">
            <w:pPr>
              <w:autoSpaceDE w:val="0"/>
              <w:autoSpaceDN w:val="0"/>
              <w:adjustRightInd w:val="0"/>
              <w:spacing w:before="29"/>
              <w:ind w:right="10" w:hanging="6"/>
              <w:jc w:val="center"/>
              <w:rPr>
                <w:b/>
                <w:lang w:val="uk-UA"/>
              </w:rPr>
            </w:pPr>
            <w:r>
              <w:rPr>
                <w:b/>
                <w:lang w:val="uk-UA"/>
              </w:rPr>
              <w:t xml:space="preserve">1 </w:t>
            </w:r>
            <w:r w:rsidR="00C1494B">
              <w:rPr>
                <w:b/>
                <w:lang w:val="uk-UA"/>
              </w:rPr>
              <w:t>80</w:t>
            </w:r>
            <w:r w:rsidR="00AA6080">
              <w:rPr>
                <w:b/>
                <w:lang w:val="uk-UA"/>
              </w:rPr>
              <w:t>0</w:t>
            </w:r>
          </w:p>
        </w:tc>
      </w:tr>
    </w:tbl>
    <w:p w:rsidR="00B274B7" w:rsidRPr="00B274B7" w:rsidRDefault="000C670C" w:rsidP="00B27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uk-UA"/>
        </w:rPr>
      </w:pPr>
      <w:r>
        <w:rPr>
          <w:noProof/>
          <w:lang w:val="uk-UA"/>
        </w:rPr>
        <w:t>Станом на 31.12.2020</w:t>
      </w:r>
      <w:r w:rsidR="00B274B7" w:rsidRPr="00B274B7">
        <w:rPr>
          <w:noProof/>
          <w:lang w:val="uk-UA"/>
        </w:rPr>
        <w:t xml:space="preserve"> р. розмір і структура власного капіталу відповідає вимогам, установленим п. 2.1.11. ст. 2 </w:t>
      </w:r>
      <w:bookmarkStart w:id="0" w:name="OLE_LINK6"/>
      <w:r w:rsidR="00B274B7" w:rsidRPr="00B274B7">
        <w:rPr>
          <w:noProof/>
          <w:lang w:val="uk-UA"/>
        </w:rPr>
        <w:t xml:space="preserve">Положення </w:t>
      </w:r>
      <w:bookmarkEnd w:id="0"/>
      <w:r w:rsidR="00B274B7" w:rsidRPr="00B274B7">
        <w:rPr>
          <w:bCs/>
          <w:color w:val="000000"/>
          <w:shd w:val="clear" w:color="auto" w:fill="FFFFFF"/>
          <w:lang w:val="uk-UA"/>
        </w:rPr>
        <w:t>про порядок надання фінансових послуг ломбардами, затвердженого р</w:t>
      </w:r>
      <w:r w:rsidR="00B274B7" w:rsidRPr="00B274B7">
        <w:rPr>
          <w:lang w:val="uk-UA"/>
        </w:rPr>
        <w:t>озпорядження Державної комісії з регулювання ринків фінансових послуг України від 26.04.2005 р. № 3981 та зареєстрованого в Міністерстві юстиції України 14.05.2005 р. за  № 565/10845 із змінами і доповненнями.</w:t>
      </w:r>
    </w:p>
    <w:p w:rsidR="001B2214" w:rsidRPr="00BD7CFA" w:rsidRDefault="001B2214" w:rsidP="001B2214">
      <w:pPr>
        <w:spacing w:before="120" w:after="120"/>
        <w:rPr>
          <w:b/>
          <w:lang w:val="uk-UA"/>
        </w:rPr>
      </w:pPr>
      <w:r w:rsidRPr="00BD7CFA">
        <w:rPr>
          <w:b/>
          <w:lang w:val="uk-UA"/>
        </w:rPr>
        <w:t xml:space="preserve">7.2. </w:t>
      </w:r>
      <w:r w:rsidRPr="00603C20">
        <w:rPr>
          <w:b/>
          <w:bCs/>
          <w:iCs/>
          <w:color w:val="000000"/>
          <w:lang w:val="uk-UA" w:eastAsia="uk-UA"/>
        </w:rPr>
        <w:t xml:space="preserve">Розкриття інформації, що підтверджує статті, подані у </w:t>
      </w:r>
      <w:r w:rsidRPr="00BD7CFA">
        <w:rPr>
          <w:b/>
          <w:lang w:val="uk-UA"/>
        </w:rPr>
        <w:t>Звіт про фінансові результати (Звіт про сукупний дохід)</w:t>
      </w:r>
    </w:p>
    <w:p w:rsidR="001B2214" w:rsidRPr="001B2214" w:rsidRDefault="001B2214" w:rsidP="001B2214">
      <w:pPr>
        <w:spacing w:before="120" w:after="120"/>
        <w:rPr>
          <w:bCs/>
          <w:u w:val="single"/>
          <w:lang w:val="uk-UA"/>
        </w:rPr>
      </w:pPr>
      <w:r w:rsidRPr="001B2214">
        <w:rPr>
          <w:bCs/>
          <w:u w:val="single"/>
          <w:lang w:val="uk-UA"/>
        </w:rPr>
        <w:t>Доходи від основної діяльності</w:t>
      </w:r>
    </w:p>
    <w:p w:rsidR="001B2214" w:rsidRDefault="001B2214" w:rsidP="001B2214">
      <w:pPr>
        <w:jc w:val="right"/>
        <w:rPr>
          <w:lang w:val="uk-UA"/>
        </w:rPr>
      </w:pPr>
      <w:r w:rsidRPr="008B7479">
        <w:rPr>
          <w:lang w:val="uk-UA"/>
        </w:rPr>
        <w:t>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843"/>
        <w:gridCol w:w="1701"/>
      </w:tblGrid>
      <w:tr w:rsidR="001B2214" w:rsidRPr="00387D3A" w:rsidTr="00380E58">
        <w:trPr>
          <w:trHeight w:val="348"/>
        </w:trPr>
        <w:tc>
          <w:tcPr>
            <w:tcW w:w="6345" w:type="dxa"/>
          </w:tcPr>
          <w:p w:rsidR="001B2214" w:rsidRPr="00387D3A" w:rsidRDefault="001B2214" w:rsidP="00D81E9C">
            <w:pPr>
              <w:jc w:val="both"/>
              <w:rPr>
                <w:i/>
                <w:lang w:val="uk-UA" w:eastAsia="en-US"/>
              </w:rPr>
            </w:pPr>
          </w:p>
        </w:tc>
        <w:tc>
          <w:tcPr>
            <w:tcW w:w="1843" w:type="dxa"/>
          </w:tcPr>
          <w:p w:rsidR="001B2214" w:rsidRPr="00387D3A" w:rsidRDefault="001B2214" w:rsidP="00D81E9C">
            <w:pPr>
              <w:jc w:val="center"/>
              <w:rPr>
                <w:lang w:val="uk-UA" w:eastAsia="en-US"/>
              </w:rPr>
            </w:pPr>
            <w:r w:rsidRPr="00387D3A">
              <w:rPr>
                <w:lang w:val="uk-UA" w:eastAsia="en-US"/>
              </w:rPr>
              <w:t>201</w:t>
            </w:r>
            <w:r w:rsidR="000C670C">
              <w:rPr>
                <w:lang w:val="uk-UA" w:eastAsia="en-US"/>
              </w:rPr>
              <w:t>9</w:t>
            </w:r>
            <w:r w:rsidRPr="00387D3A">
              <w:rPr>
                <w:lang w:val="uk-UA" w:eastAsia="en-US"/>
              </w:rPr>
              <w:t xml:space="preserve"> рік</w:t>
            </w:r>
          </w:p>
        </w:tc>
        <w:tc>
          <w:tcPr>
            <w:tcW w:w="1701" w:type="dxa"/>
          </w:tcPr>
          <w:p w:rsidR="001B2214" w:rsidRPr="00387D3A" w:rsidRDefault="00850566" w:rsidP="00D81E9C">
            <w:pPr>
              <w:jc w:val="center"/>
              <w:rPr>
                <w:lang w:val="uk-UA" w:eastAsia="en-US"/>
              </w:rPr>
            </w:pPr>
            <w:r>
              <w:rPr>
                <w:lang w:val="uk-UA" w:eastAsia="en-US"/>
              </w:rPr>
              <w:t>2020</w:t>
            </w:r>
            <w:r w:rsidR="001B2214" w:rsidRPr="00387D3A">
              <w:rPr>
                <w:lang w:val="uk-UA" w:eastAsia="en-US"/>
              </w:rPr>
              <w:t xml:space="preserve"> рік</w:t>
            </w:r>
          </w:p>
        </w:tc>
      </w:tr>
      <w:tr w:rsidR="001B2214" w:rsidRPr="00387D3A" w:rsidTr="00380E58">
        <w:trPr>
          <w:trHeight w:val="348"/>
        </w:trPr>
        <w:tc>
          <w:tcPr>
            <w:tcW w:w="6345" w:type="dxa"/>
          </w:tcPr>
          <w:p w:rsidR="001B2214" w:rsidRPr="00387D3A" w:rsidRDefault="001C7D9F" w:rsidP="00D81E9C">
            <w:pPr>
              <w:jc w:val="both"/>
              <w:rPr>
                <w:lang w:val="uk-UA" w:eastAsia="en-US"/>
              </w:rPr>
            </w:pPr>
            <w:r w:rsidRPr="00387D3A">
              <w:rPr>
                <w:lang w:val="uk-UA" w:eastAsia="en-US"/>
              </w:rPr>
              <w:t>Реалізація послуг (відсотки по кредиту)</w:t>
            </w:r>
          </w:p>
        </w:tc>
        <w:tc>
          <w:tcPr>
            <w:tcW w:w="1843" w:type="dxa"/>
          </w:tcPr>
          <w:p w:rsidR="001B2214" w:rsidRPr="00387D3A" w:rsidRDefault="000C670C" w:rsidP="00D81E9C">
            <w:pPr>
              <w:jc w:val="center"/>
              <w:rPr>
                <w:lang w:val="uk-UA" w:eastAsia="en-US"/>
              </w:rPr>
            </w:pPr>
            <w:r>
              <w:rPr>
                <w:lang w:val="uk-UA" w:eastAsia="en-US"/>
              </w:rPr>
              <w:t>3 036</w:t>
            </w:r>
          </w:p>
        </w:tc>
        <w:tc>
          <w:tcPr>
            <w:tcW w:w="1701" w:type="dxa"/>
          </w:tcPr>
          <w:p w:rsidR="001B2214" w:rsidRPr="00387D3A" w:rsidRDefault="001C7D9F" w:rsidP="00850566">
            <w:pPr>
              <w:jc w:val="center"/>
              <w:rPr>
                <w:lang w:val="uk-UA" w:eastAsia="en-US"/>
              </w:rPr>
            </w:pPr>
            <w:r>
              <w:rPr>
                <w:lang w:val="uk-UA" w:eastAsia="en-US"/>
              </w:rPr>
              <w:t>3</w:t>
            </w:r>
            <w:r w:rsidR="00850566">
              <w:rPr>
                <w:lang w:val="uk-UA" w:eastAsia="en-US"/>
              </w:rPr>
              <w:t> 354</w:t>
            </w:r>
          </w:p>
        </w:tc>
      </w:tr>
      <w:tr w:rsidR="001C7D9F" w:rsidRPr="00387D3A" w:rsidTr="00380E58">
        <w:trPr>
          <w:trHeight w:val="348"/>
        </w:trPr>
        <w:tc>
          <w:tcPr>
            <w:tcW w:w="6345" w:type="dxa"/>
          </w:tcPr>
          <w:p w:rsidR="001C7D9F" w:rsidRPr="001C7D9F" w:rsidRDefault="001C7D9F" w:rsidP="001C7D9F">
            <w:pPr>
              <w:jc w:val="both"/>
              <w:rPr>
                <w:lang w:val="uk-UA" w:eastAsia="en-US"/>
              </w:rPr>
            </w:pPr>
            <w:r>
              <w:rPr>
                <w:lang w:val="uk-UA" w:eastAsia="en-US"/>
              </w:rPr>
              <w:t>Інші операційні доходи</w:t>
            </w:r>
          </w:p>
        </w:tc>
        <w:tc>
          <w:tcPr>
            <w:tcW w:w="1843" w:type="dxa"/>
          </w:tcPr>
          <w:p w:rsidR="001C7D9F" w:rsidRPr="00387D3A" w:rsidRDefault="000C670C" w:rsidP="001C7D9F">
            <w:pPr>
              <w:jc w:val="center"/>
              <w:rPr>
                <w:lang w:val="uk-UA" w:eastAsia="en-US"/>
              </w:rPr>
            </w:pPr>
            <w:r>
              <w:rPr>
                <w:lang w:val="uk-UA" w:eastAsia="en-US"/>
              </w:rPr>
              <w:t>0</w:t>
            </w:r>
          </w:p>
        </w:tc>
        <w:tc>
          <w:tcPr>
            <w:tcW w:w="1701" w:type="dxa"/>
          </w:tcPr>
          <w:p w:rsidR="001C7D9F" w:rsidRPr="00387D3A" w:rsidRDefault="001C7D9F" w:rsidP="001C7D9F">
            <w:pPr>
              <w:jc w:val="center"/>
              <w:rPr>
                <w:lang w:val="uk-UA" w:eastAsia="en-US"/>
              </w:rPr>
            </w:pPr>
            <w:r>
              <w:rPr>
                <w:lang w:val="uk-UA" w:eastAsia="en-US"/>
              </w:rPr>
              <w:t>0</w:t>
            </w:r>
          </w:p>
        </w:tc>
      </w:tr>
      <w:tr w:rsidR="001C7D9F" w:rsidRPr="00387D3A" w:rsidTr="00380E58">
        <w:trPr>
          <w:trHeight w:val="348"/>
        </w:trPr>
        <w:tc>
          <w:tcPr>
            <w:tcW w:w="6345" w:type="dxa"/>
          </w:tcPr>
          <w:p w:rsidR="001C7D9F" w:rsidRPr="00050B6A" w:rsidRDefault="001C7D9F" w:rsidP="001C7D9F">
            <w:pPr>
              <w:jc w:val="both"/>
              <w:rPr>
                <w:b/>
                <w:lang w:val="uk-UA" w:eastAsia="en-US"/>
              </w:rPr>
            </w:pPr>
            <w:r>
              <w:rPr>
                <w:b/>
                <w:lang w:val="uk-UA" w:eastAsia="en-US"/>
              </w:rPr>
              <w:t>Всього доходи</w:t>
            </w:r>
          </w:p>
        </w:tc>
        <w:tc>
          <w:tcPr>
            <w:tcW w:w="1843" w:type="dxa"/>
          </w:tcPr>
          <w:p w:rsidR="001C7D9F" w:rsidRPr="00050B6A" w:rsidRDefault="000C670C" w:rsidP="001C7D9F">
            <w:pPr>
              <w:jc w:val="center"/>
              <w:rPr>
                <w:b/>
                <w:lang w:val="uk-UA" w:eastAsia="en-US"/>
              </w:rPr>
            </w:pPr>
            <w:r>
              <w:rPr>
                <w:b/>
                <w:lang w:val="uk-UA" w:eastAsia="en-US"/>
              </w:rPr>
              <w:t>3 036</w:t>
            </w:r>
          </w:p>
        </w:tc>
        <w:tc>
          <w:tcPr>
            <w:tcW w:w="1701" w:type="dxa"/>
          </w:tcPr>
          <w:p w:rsidR="001C7D9F" w:rsidRPr="00050B6A" w:rsidRDefault="001C7D9F" w:rsidP="00850566">
            <w:pPr>
              <w:jc w:val="center"/>
              <w:rPr>
                <w:b/>
                <w:lang w:val="uk-UA" w:eastAsia="en-US"/>
              </w:rPr>
            </w:pPr>
            <w:r>
              <w:rPr>
                <w:b/>
                <w:lang w:val="uk-UA" w:eastAsia="en-US"/>
              </w:rPr>
              <w:t xml:space="preserve">3 </w:t>
            </w:r>
            <w:r w:rsidR="00850566">
              <w:rPr>
                <w:b/>
                <w:lang w:val="uk-UA" w:eastAsia="en-US"/>
              </w:rPr>
              <w:t>354</w:t>
            </w:r>
          </w:p>
        </w:tc>
      </w:tr>
    </w:tbl>
    <w:p w:rsidR="001B2214" w:rsidRDefault="001B2214" w:rsidP="001B2214">
      <w:pPr>
        <w:jc w:val="right"/>
        <w:rPr>
          <w:lang w:val="uk-UA"/>
        </w:rPr>
      </w:pPr>
    </w:p>
    <w:p w:rsidR="001B2214" w:rsidRPr="001C7D9F" w:rsidRDefault="001B2214" w:rsidP="001B2214">
      <w:pPr>
        <w:jc w:val="both"/>
        <w:rPr>
          <w:bCs/>
          <w:iCs/>
          <w:u w:val="single"/>
          <w:lang w:val="uk-UA" w:eastAsia="en-US"/>
        </w:rPr>
      </w:pPr>
      <w:r w:rsidRPr="001C7D9F">
        <w:rPr>
          <w:bCs/>
          <w:iCs/>
          <w:u w:val="single"/>
          <w:lang w:val="uk-UA" w:eastAsia="en-US"/>
        </w:rPr>
        <w:t>Адміністративні витрати</w:t>
      </w:r>
    </w:p>
    <w:p w:rsidR="001B2214" w:rsidRDefault="001B2214" w:rsidP="001B2214">
      <w:pPr>
        <w:jc w:val="right"/>
        <w:rPr>
          <w:lang w:val="uk-UA"/>
        </w:rPr>
      </w:pPr>
      <w:r w:rsidRPr="008B7479">
        <w:rPr>
          <w:lang w:val="uk-UA"/>
        </w:rPr>
        <w:t>тис. 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1701"/>
      </w:tblGrid>
      <w:tr w:rsidR="000C670C" w:rsidRPr="00912C8C" w:rsidTr="000C670C">
        <w:tc>
          <w:tcPr>
            <w:tcW w:w="6345" w:type="dxa"/>
          </w:tcPr>
          <w:p w:rsidR="000C670C" w:rsidRPr="00912C8C" w:rsidRDefault="000C670C" w:rsidP="000C670C">
            <w:pPr>
              <w:jc w:val="both"/>
              <w:rPr>
                <w:i/>
                <w:sz w:val="22"/>
                <w:szCs w:val="22"/>
                <w:lang w:val="uk-UA" w:eastAsia="en-US"/>
              </w:rPr>
            </w:pPr>
          </w:p>
        </w:tc>
        <w:tc>
          <w:tcPr>
            <w:tcW w:w="1701" w:type="dxa"/>
          </w:tcPr>
          <w:p w:rsidR="000C670C" w:rsidRPr="00912C8C" w:rsidRDefault="000C670C" w:rsidP="000C670C">
            <w:pPr>
              <w:jc w:val="center"/>
              <w:rPr>
                <w:lang w:val="uk-UA" w:eastAsia="en-US"/>
              </w:rPr>
            </w:pPr>
            <w:r w:rsidRPr="00912C8C">
              <w:rPr>
                <w:lang w:val="uk-UA" w:eastAsia="en-US"/>
              </w:rPr>
              <w:t>201</w:t>
            </w:r>
            <w:r>
              <w:rPr>
                <w:lang w:val="uk-UA" w:eastAsia="en-US"/>
              </w:rPr>
              <w:t>9</w:t>
            </w:r>
            <w:r w:rsidRPr="00912C8C">
              <w:rPr>
                <w:lang w:val="uk-UA" w:eastAsia="en-US"/>
              </w:rPr>
              <w:t xml:space="preserve"> рік</w:t>
            </w:r>
          </w:p>
        </w:tc>
        <w:tc>
          <w:tcPr>
            <w:tcW w:w="1701" w:type="dxa"/>
          </w:tcPr>
          <w:p w:rsidR="000C670C" w:rsidRPr="00912C8C" w:rsidRDefault="006A3335" w:rsidP="000C670C">
            <w:pPr>
              <w:jc w:val="center"/>
              <w:rPr>
                <w:lang w:val="uk-UA" w:eastAsia="en-US"/>
              </w:rPr>
            </w:pPr>
            <w:r>
              <w:rPr>
                <w:lang w:val="uk-UA" w:eastAsia="en-US"/>
              </w:rPr>
              <w:t>2020</w:t>
            </w:r>
            <w:r w:rsidR="000C670C" w:rsidRPr="00912C8C">
              <w:rPr>
                <w:lang w:val="uk-UA" w:eastAsia="en-US"/>
              </w:rPr>
              <w:t xml:space="preserve"> рік</w:t>
            </w:r>
          </w:p>
        </w:tc>
      </w:tr>
      <w:tr w:rsidR="000C670C" w:rsidRPr="00682EFB" w:rsidTr="000C670C">
        <w:tc>
          <w:tcPr>
            <w:tcW w:w="6345" w:type="dxa"/>
          </w:tcPr>
          <w:p w:rsidR="000C670C" w:rsidRPr="00912C8C" w:rsidRDefault="000C670C" w:rsidP="000C670C">
            <w:pPr>
              <w:jc w:val="both"/>
              <w:rPr>
                <w:lang w:val="uk-UA" w:eastAsia="en-US"/>
              </w:rPr>
            </w:pPr>
            <w:r>
              <w:rPr>
                <w:lang w:val="uk-UA" w:eastAsia="en-US"/>
              </w:rPr>
              <w:t>Матеріальні витрати</w:t>
            </w:r>
          </w:p>
        </w:tc>
        <w:tc>
          <w:tcPr>
            <w:tcW w:w="1701" w:type="dxa"/>
          </w:tcPr>
          <w:p w:rsidR="000C670C" w:rsidRPr="00912C8C" w:rsidRDefault="000C670C" w:rsidP="000C670C">
            <w:pPr>
              <w:jc w:val="center"/>
              <w:rPr>
                <w:lang w:val="uk-UA" w:eastAsia="en-US"/>
              </w:rPr>
            </w:pPr>
            <w:r>
              <w:rPr>
                <w:lang w:val="uk-UA" w:eastAsia="en-US"/>
              </w:rPr>
              <w:t>66</w:t>
            </w:r>
          </w:p>
        </w:tc>
        <w:tc>
          <w:tcPr>
            <w:tcW w:w="1701" w:type="dxa"/>
          </w:tcPr>
          <w:p w:rsidR="000C670C" w:rsidRPr="00912C8C" w:rsidRDefault="006A3335" w:rsidP="000C670C">
            <w:pPr>
              <w:jc w:val="center"/>
              <w:rPr>
                <w:lang w:val="uk-UA" w:eastAsia="en-US"/>
              </w:rPr>
            </w:pPr>
            <w:r>
              <w:rPr>
                <w:lang w:val="uk-UA" w:eastAsia="en-US"/>
              </w:rPr>
              <w:t>300</w:t>
            </w:r>
          </w:p>
        </w:tc>
      </w:tr>
      <w:tr w:rsidR="000C670C" w:rsidRPr="00682EFB" w:rsidTr="000C670C">
        <w:tc>
          <w:tcPr>
            <w:tcW w:w="6345" w:type="dxa"/>
          </w:tcPr>
          <w:p w:rsidR="000C670C" w:rsidRPr="00912C8C" w:rsidRDefault="000C670C" w:rsidP="000C670C">
            <w:pPr>
              <w:jc w:val="both"/>
              <w:rPr>
                <w:lang w:val="uk-UA" w:eastAsia="en-US"/>
              </w:rPr>
            </w:pPr>
            <w:r>
              <w:rPr>
                <w:lang w:val="uk-UA" w:eastAsia="en-US"/>
              </w:rPr>
              <w:lastRenderedPageBreak/>
              <w:t>Витрати на оплату праці</w:t>
            </w:r>
          </w:p>
        </w:tc>
        <w:tc>
          <w:tcPr>
            <w:tcW w:w="1701" w:type="dxa"/>
          </w:tcPr>
          <w:p w:rsidR="000C670C" w:rsidRPr="00912C8C" w:rsidRDefault="000C670C" w:rsidP="000C670C">
            <w:pPr>
              <w:jc w:val="center"/>
              <w:rPr>
                <w:lang w:val="uk-UA" w:eastAsia="en-US"/>
              </w:rPr>
            </w:pPr>
            <w:r>
              <w:rPr>
                <w:lang w:val="uk-UA" w:eastAsia="en-US"/>
              </w:rPr>
              <w:t>1  034</w:t>
            </w:r>
          </w:p>
        </w:tc>
        <w:tc>
          <w:tcPr>
            <w:tcW w:w="1701" w:type="dxa"/>
          </w:tcPr>
          <w:p w:rsidR="000C670C" w:rsidRPr="00912C8C" w:rsidRDefault="000C670C" w:rsidP="000C670C">
            <w:pPr>
              <w:jc w:val="center"/>
              <w:rPr>
                <w:lang w:val="uk-UA" w:eastAsia="en-US"/>
              </w:rPr>
            </w:pPr>
            <w:r>
              <w:rPr>
                <w:lang w:val="uk-UA" w:eastAsia="en-US"/>
              </w:rPr>
              <w:t>1</w:t>
            </w:r>
            <w:r w:rsidR="00BC18B9">
              <w:rPr>
                <w:lang w:val="uk-UA" w:eastAsia="en-US"/>
              </w:rPr>
              <w:t xml:space="preserve">  3</w:t>
            </w:r>
            <w:r>
              <w:rPr>
                <w:lang w:val="uk-UA" w:eastAsia="en-US"/>
              </w:rPr>
              <w:t>3</w:t>
            </w:r>
            <w:r w:rsidR="00AA6080">
              <w:rPr>
                <w:lang w:val="uk-UA" w:eastAsia="en-US"/>
              </w:rPr>
              <w:t>9</w:t>
            </w:r>
          </w:p>
        </w:tc>
      </w:tr>
      <w:tr w:rsidR="000C670C" w:rsidRPr="00682EFB" w:rsidTr="000C670C">
        <w:tc>
          <w:tcPr>
            <w:tcW w:w="6345" w:type="dxa"/>
          </w:tcPr>
          <w:p w:rsidR="000C670C" w:rsidRPr="00912C8C" w:rsidRDefault="000C670C" w:rsidP="000C670C">
            <w:pPr>
              <w:jc w:val="both"/>
              <w:rPr>
                <w:lang w:val="uk-UA" w:eastAsia="en-US"/>
              </w:rPr>
            </w:pPr>
            <w:r>
              <w:rPr>
                <w:lang w:val="uk-UA" w:eastAsia="en-US"/>
              </w:rPr>
              <w:t>Відрахування на соціальні заходи</w:t>
            </w:r>
          </w:p>
        </w:tc>
        <w:tc>
          <w:tcPr>
            <w:tcW w:w="1701" w:type="dxa"/>
          </w:tcPr>
          <w:p w:rsidR="000C670C" w:rsidRPr="00912C8C" w:rsidRDefault="000C670C" w:rsidP="000C670C">
            <w:pPr>
              <w:jc w:val="center"/>
              <w:rPr>
                <w:lang w:val="uk-UA" w:eastAsia="en-US"/>
              </w:rPr>
            </w:pPr>
            <w:r>
              <w:rPr>
                <w:lang w:val="uk-UA" w:eastAsia="en-US"/>
              </w:rPr>
              <w:t>238</w:t>
            </w:r>
          </w:p>
        </w:tc>
        <w:tc>
          <w:tcPr>
            <w:tcW w:w="1701" w:type="dxa"/>
          </w:tcPr>
          <w:p w:rsidR="000C670C" w:rsidRPr="00912C8C" w:rsidRDefault="000C670C" w:rsidP="00BC18B9">
            <w:pPr>
              <w:jc w:val="center"/>
              <w:rPr>
                <w:lang w:val="uk-UA" w:eastAsia="en-US"/>
              </w:rPr>
            </w:pPr>
            <w:r>
              <w:rPr>
                <w:lang w:val="uk-UA" w:eastAsia="en-US"/>
              </w:rPr>
              <w:t>2</w:t>
            </w:r>
            <w:r w:rsidR="00BC18B9">
              <w:rPr>
                <w:lang w:val="uk-UA" w:eastAsia="en-US"/>
              </w:rPr>
              <w:t>94</w:t>
            </w:r>
          </w:p>
        </w:tc>
      </w:tr>
      <w:tr w:rsidR="000C670C" w:rsidRPr="00682EFB" w:rsidTr="000C670C">
        <w:tc>
          <w:tcPr>
            <w:tcW w:w="6345" w:type="dxa"/>
          </w:tcPr>
          <w:p w:rsidR="000C670C" w:rsidRPr="00912C8C" w:rsidRDefault="000C670C" w:rsidP="000C670C">
            <w:pPr>
              <w:jc w:val="both"/>
              <w:rPr>
                <w:lang w:val="uk-UA" w:eastAsia="en-US"/>
              </w:rPr>
            </w:pPr>
            <w:r>
              <w:rPr>
                <w:lang w:val="uk-UA" w:eastAsia="en-US"/>
              </w:rPr>
              <w:t>Амортизація</w:t>
            </w:r>
          </w:p>
        </w:tc>
        <w:tc>
          <w:tcPr>
            <w:tcW w:w="1701" w:type="dxa"/>
          </w:tcPr>
          <w:p w:rsidR="000C670C" w:rsidRPr="00912C8C" w:rsidRDefault="000C670C" w:rsidP="000C670C">
            <w:pPr>
              <w:jc w:val="center"/>
              <w:rPr>
                <w:lang w:val="uk-UA" w:eastAsia="en-US"/>
              </w:rPr>
            </w:pPr>
            <w:r>
              <w:rPr>
                <w:lang w:val="uk-UA" w:eastAsia="en-US"/>
              </w:rPr>
              <w:t>236</w:t>
            </w:r>
          </w:p>
        </w:tc>
        <w:tc>
          <w:tcPr>
            <w:tcW w:w="1701" w:type="dxa"/>
          </w:tcPr>
          <w:p w:rsidR="000C670C" w:rsidRPr="00912C8C" w:rsidRDefault="00BC18B9" w:rsidP="000C670C">
            <w:pPr>
              <w:jc w:val="center"/>
              <w:rPr>
                <w:lang w:val="uk-UA" w:eastAsia="en-US"/>
              </w:rPr>
            </w:pPr>
            <w:r>
              <w:rPr>
                <w:lang w:val="uk-UA" w:eastAsia="en-US"/>
              </w:rPr>
              <w:t>364</w:t>
            </w:r>
          </w:p>
        </w:tc>
      </w:tr>
      <w:tr w:rsidR="000C670C" w:rsidRPr="00682EFB" w:rsidTr="000C670C">
        <w:tc>
          <w:tcPr>
            <w:tcW w:w="6345" w:type="dxa"/>
          </w:tcPr>
          <w:p w:rsidR="000C670C" w:rsidRPr="00912C8C" w:rsidRDefault="000C670C" w:rsidP="000C670C">
            <w:pPr>
              <w:jc w:val="both"/>
              <w:rPr>
                <w:lang w:val="uk-UA" w:eastAsia="en-US"/>
              </w:rPr>
            </w:pPr>
            <w:r>
              <w:rPr>
                <w:lang w:val="uk-UA" w:eastAsia="en-US"/>
              </w:rPr>
              <w:t>Інші операційні витрати</w:t>
            </w:r>
          </w:p>
        </w:tc>
        <w:tc>
          <w:tcPr>
            <w:tcW w:w="1701" w:type="dxa"/>
          </w:tcPr>
          <w:p w:rsidR="000C670C" w:rsidRPr="00912C8C" w:rsidRDefault="000C670C" w:rsidP="000C670C">
            <w:pPr>
              <w:jc w:val="center"/>
              <w:rPr>
                <w:lang w:val="uk-UA" w:eastAsia="en-US"/>
              </w:rPr>
            </w:pPr>
            <w:r>
              <w:rPr>
                <w:lang w:val="uk-UA" w:eastAsia="en-US"/>
              </w:rPr>
              <w:t>1 116</w:t>
            </w:r>
          </w:p>
        </w:tc>
        <w:tc>
          <w:tcPr>
            <w:tcW w:w="1701" w:type="dxa"/>
          </w:tcPr>
          <w:p w:rsidR="000C670C" w:rsidRPr="00912C8C" w:rsidRDefault="00AA6080" w:rsidP="00BC18B9">
            <w:pPr>
              <w:jc w:val="center"/>
              <w:rPr>
                <w:lang w:val="uk-UA" w:eastAsia="en-US"/>
              </w:rPr>
            </w:pPr>
            <w:r>
              <w:rPr>
                <w:lang w:val="uk-UA" w:eastAsia="en-US"/>
              </w:rPr>
              <w:t>915</w:t>
            </w:r>
          </w:p>
        </w:tc>
      </w:tr>
      <w:tr w:rsidR="000C670C" w:rsidRPr="00682EFB" w:rsidTr="000C670C">
        <w:tc>
          <w:tcPr>
            <w:tcW w:w="6345" w:type="dxa"/>
          </w:tcPr>
          <w:p w:rsidR="000C670C" w:rsidRPr="00050B6A" w:rsidRDefault="000C670C" w:rsidP="000C670C">
            <w:pPr>
              <w:jc w:val="both"/>
              <w:rPr>
                <w:b/>
                <w:lang w:val="uk-UA" w:eastAsia="en-US"/>
              </w:rPr>
            </w:pPr>
            <w:r w:rsidRPr="00050B6A">
              <w:rPr>
                <w:b/>
                <w:lang w:val="uk-UA" w:eastAsia="en-US"/>
              </w:rPr>
              <w:t>Всього адміністративні витрати</w:t>
            </w:r>
          </w:p>
        </w:tc>
        <w:tc>
          <w:tcPr>
            <w:tcW w:w="1701" w:type="dxa"/>
          </w:tcPr>
          <w:p w:rsidR="000C670C" w:rsidRPr="00050B6A" w:rsidRDefault="000C670C" w:rsidP="000C670C">
            <w:pPr>
              <w:jc w:val="center"/>
              <w:rPr>
                <w:b/>
                <w:lang w:val="uk-UA" w:eastAsia="en-US"/>
              </w:rPr>
            </w:pPr>
            <w:r>
              <w:rPr>
                <w:b/>
                <w:lang w:val="uk-UA" w:eastAsia="en-US"/>
              </w:rPr>
              <w:t>2 690</w:t>
            </w:r>
          </w:p>
        </w:tc>
        <w:tc>
          <w:tcPr>
            <w:tcW w:w="1701" w:type="dxa"/>
          </w:tcPr>
          <w:p w:rsidR="000C670C" w:rsidRPr="00050B6A" w:rsidRDefault="00BC18B9" w:rsidP="00BC18B9">
            <w:pPr>
              <w:jc w:val="center"/>
              <w:rPr>
                <w:b/>
                <w:lang w:val="uk-UA" w:eastAsia="en-US"/>
              </w:rPr>
            </w:pPr>
            <w:r>
              <w:rPr>
                <w:b/>
                <w:lang w:val="uk-UA" w:eastAsia="en-US"/>
              </w:rPr>
              <w:t>3</w:t>
            </w:r>
            <w:r w:rsidR="000C670C">
              <w:rPr>
                <w:b/>
                <w:lang w:val="uk-UA" w:eastAsia="en-US"/>
              </w:rPr>
              <w:t xml:space="preserve"> </w:t>
            </w:r>
            <w:r w:rsidR="00AA6080">
              <w:rPr>
                <w:b/>
                <w:lang w:val="uk-UA" w:eastAsia="en-US"/>
              </w:rPr>
              <w:t>2</w:t>
            </w:r>
            <w:r>
              <w:rPr>
                <w:b/>
                <w:lang w:val="uk-UA" w:eastAsia="en-US"/>
              </w:rPr>
              <w:t>12</w:t>
            </w:r>
          </w:p>
        </w:tc>
      </w:tr>
    </w:tbl>
    <w:p w:rsidR="001B2214" w:rsidRDefault="001B2214" w:rsidP="001B2214">
      <w:pPr>
        <w:jc w:val="both"/>
        <w:rPr>
          <w:bCs/>
          <w:i/>
          <w:iCs/>
          <w:sz w:val="22"/>
          <w:szCs w:val="22"/>
          <w:lang w:val="uk-UA" w:eastAsia="en-US"/>
        </w:rPr>
      </w:pPr>
    </w:p>
    <w:p w:rsidR="001B2214" w:rsidRPr="001C7D9F" w:rsidRDefault="001B2214" w:rsidP="001B2214">
      <w:pPr>
        <w:jc w:val="both"/>
        <w:rPr>
          <w:bCs/>
          <w:iCs/>
          <w:u w:val="single"/>
          <w:lang w:val="uk-UA" w:eastAsia="en-US"/>
        </w:rPr>
      </w:pPr>
      <w:r w:rsidRPr="001C7D9F">
        <w:rPr>
          <w:bCs/>
          <w:iCs/>
          <w:u w:val="single"/>
          <w:lang w:val="uk-UA" w:eastAsia="en-US"/>
        </w:rPr>
        <w:t>Податок на прибуток</w:t>
      </w:r>
    </w:p>
    <w:p w:rsidR="001B2214" w:rsidRPr="002C5E81" w:rsidRDefault="001B2214" w:rsidP="001B2214">
      <w:pPr>
        <w:jc w:val="right"/>
        <w:rPr>
          <w:lang w:val="uk-UA"/>
        </w:rPr>
      </w:pPr>
      <w:r w:rsidRPr="008B7479">
        <w:rPr>
          <w:lang w:val="uk-UA"/>
        </w:rPr>
        <w:t>тис. грн.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630"/>
        <w:gridCol w:w="1630"/>
      </w:tblGrid>
      <w:tr w:rsidR="000C670C" w:rsidRPr="002C5E81" w:rsidTr="000C670C">
        <w:trPr>
          <w:trHeight w:val="391"/>
        </w:trPr>
        <w:tc>
          <w:tcPr>
            <w:tcW w:w="6487" w:type="dxa"/>
          </w:tcPr>
          <w:p w:rsidR="000C670C" w:rsidRPr="002C5E81" w:rsidRDefault="000C670C" w:rsidP="000C670C">
            <w:pPr>
              <w:jc w:val="both"/>
              <w:rPr>
                <w:lang w:val="uk-UA" w:eastAsia="en-US"/>
              </w:rPr>
            </w:pPr>
          </w:p>
        </w:tc>
        <w:tc>
          <w:tcPr>
            <w:tcW w:w="1630" w:type="dxa"/>
          </w:tcPr>
          <w:p w:rsidR="000C670C" w:rsidRPr="002C5E81" w:rsidRDefault="000C670C" w:rsidP="000C670C">
            <w:pPr>
              <w:jc w:val="center"/>
              <w:rPr>
                <w:lang w:val="uk-UA" w:eastAsia="en-US"/>
              </w:rPr>
            </w:pPr>
            <w:r w:rsidRPr="002C5E81">
              <w:rPr>
                <w:lang w:val="uk-UA" w:eastAsia="en-US"/>
              </w:rPr>
              <w:t>201</w:t>
            </w:r>
            <w:r>
              <w:rPr>
                <w:lang w:val="uk-UA" w:eastAsia="en-US"/>
              </w:rPr>
              <w:t>9</w:t>
            </w:r>
            <w:r w:rsidRPr="002C5E81">
              <w:rPr>
                <w:lang w:val="uk-UA" w:eastAsia="en-US"/>
              </w:rPr>
              <w:t xml:space="preserve"> рік</w:t>
            </w:r>
          </w:p>
        </w:tc>
        <w:tc>
          <w:tcPr>
            <w:tcW w:w="1630" w:type="dxa"/>
          </w:tcPr>
          <w:p w:rsidR="000C670C" w:rsidRPr="002C5E81" w:rsidRDefault="00BC18B9" w:rsidP="000C670C">
            <w:pPr>
              <w:jc w:val="center"/>
              <w:rPr>
                <w:lang w:val="uk-UA" w:eastAsia="en-US"/>
              </w:rPr>
            </w:pPr>
            <w:r>
              <w:rPr>
                <w:lang w:val="uk-UA" w:eastAsia="en-US"/>
              </w:rPr>
              <w:t>2020</w:t>
            </w:r>
            <w:r w:rsidR="000C670C" w:rsidRPr="002C5E81">
              <w:rPr>
                <w:lang w:val="uk-UA" w:eastAsia="en-US"/>
              </w:rPr>
              <w:t xml:space="preserve"> рік</w:t>
            </w:r>
          </w:p>
        </w:tc>
      </w:tr>
      <w:tr w:rsidR="000C670C" w:rsidRPr="002C5E81" w:rsidTr="000C670C">
        <w:trPr>
          <w:trHeight w:val="292"/>
        </w:trPr>
        <w:tc>
          <w:tcPr>
            <w:tcW w:w="6487" w:type="dxa"/>
          </w:tcPr>
          <w:p w:rsidR="000C670C" w:rsidRPr="002C5E81" w:rsidRDefault="000C670C" w:rsidP="000C670C">
            <w:pPr>
              <w:jc w:val="both"/>
              <w:rPr>
                <w:lang w:val="uk-UA" w:eastAsia="en-US"/>
              </w:rPr>
            </w:pPr>
            <w:r w:rsidRPr="002C5E81">
              <w:rPr>
                <w:lang w:val="uk-UA" w:eastAsia="en-US"/>
              </w:rPr>
              <w:t>Поточний податок на прибуток</w:t>
            </w:r>
          </w:p>
        </w:tc>
        <w:tc>
          <w:tcPr>
            <w:tcW w:w="1630" w:type="dxa"/>
          </w:tcPr>
          <w:p w:rsidR="000C670C" w:rsidRPr="002C5E81" w:rsidRDefault="000C670C" w:rsidP="000C670C">
            <w:pPr>
              <w:jc w:val="center"/>
              <w:rPr>
                <w:lang w:val="uk-UA" w:eastAsia="en-US"/>
              </w:rPr>
            </w:pPr>
            <w:r>
              <w:rPr>
                <w:lang w:val="uk-UA" w:eastAsia="en-US"/>
              </w:rPr>
              <w:t>62</w:t>
            </w:r>
          </w:p>
        </w:tc>
        <w:tc>
          <w:tcPr>
            <w:tcW w:w="1630" w:type="dxa"/>
          </w:tcPr>
          <w:p w:rsidR="000C670C" w:rsidRPr="002C5E81" w:rsidRDefault="00BC18B9" w:rsidP="000C670C">
            <w:pPr>
              <w:jc w:val="center"/>
              <w:rPr>
                <w:lang w:val="uk-UA" w:eastAsia="en-US"/>
              </w:rPr>
            </w:pPr>
            <w:r>
              <w:rPr>
                <w:lang w:val="uk-UA" w:eastAsia="en-US"/>
              </w:rPr>
              <w:t>26</w:t>
            </w:r>
          </w:p>
        </w:tc>
      </w:tr>
      <w:tr w:rsidR="000C670C" w:rsidRPr="002C5E81" w:rsidTr="000C670C">
        <w:trPr>
          <w:trHeight w:val="281"/>
        </w:trPr>
        <w:tc>
          <w:tcPr>
            <w:tcW w:w="6487" w:type="dxa"/>
          </w:tcPr>
          <w:p w:rsidR="000C670C" w:rsidRPr="002C5E81" w:rsidRDefault="000C670C" w:rsidP="000C670C">
            <w:pPr>
              <w:jc w:val="both"/>
              <w:rPr>
                <w:lang w:val="uk-UA" w:eastAsia="en-US"/>
              </w:rPr>
            </w:pPr>
            <w:r w:rsidRPr="002C5E81">
              <w:rPr>
                <w:lang w:val="uk-UA" w:eastAsia="en-US"/>
              </w:rPr>
              <w:t>Відстрочені податкові активи</w:t>
            </w:r>
          </w:p>
        </w:tc>
        <w:tc>
          <w:tcPr>
            <w:tcW w:w="1630" w:type="dxa"/>
          </w:tcPr>
          <w:p w:rsidR="000C670C" w:rsidRPr="002C5E81" w:rsidRDefault="000C670C" w:rsidP="000C670C">
            <w:pPr>
              <w:jc w:val="center"/>
              <w:rPr>
                <w:lang w:val="uk-UA" w:eastAsia="en-US"/>
              </w:rPr>
            </w:pPr>
            <w:r w:rsidRPr="002C5E81">
              <w:rPr>
                <w:lang w:val="uk-UA" w:eastAsia="en-US"/>
              </w:rPr>
              <w:t>-</w:t>
            </w:r>
          </w:p>
        </w:tc>
        <w:tc>
          <w:tcPr>
            <w:tcW w:w="1630" w:type="dxa"/>
          </w:tcPr>
          <w:p w:rsidR="000C670C" w:rsidRPr="002C5E81" w:rsidRDefault="000C670C" w:rsidP="000C670C">
            <w:pPr>
              <w:jc w:val="center"/>
              <w:rPr>
                <w:lang w:val="uk-UA" w:eastAsia="en-US"/>
              </w:rPr>
            </w:pPr>
            <w:r w:rsidRPr="002C5E81">
              <w:rPr>
                <w:lang w:val="uk-UA" w:eastAsia="en-US"/>
              </w:rPr>
              <w:t>-</w:t>
            </w:r>
          </w:p>
        </w:tc>
      </w:tr>
      <w:tr w:rsidR="000C670C" w:rsidRPr="002C5E81" w:rsidTr="000C670C">
        <w:trPr>
          <w:trHeight w:val="391"/>
        </w:trPr>
        <w:tc>
          <w:tcPr>
            <w:tcW w:w="6487" w:type="dxa"/>
          </w:tcPr>
          <w:p w:rsidR="000C670C" w:rsidRPr="00050B6A" w:rsidRDefault="000C670C" w:rsidP="000C670C">
            <w:pPr>
              <w:jc w:val="both"/>
              <w:rPr>
                <w:b/>
                <w:lang w:val="uk-UA" w:eastAsia="en-US"/>
              </w:rPr>
            </w:pPr>
            <w:r w:rsidRPr="00050B6A">
              <w:rPr>
                <w:b/>
                <w:lang w:val="uk-UA" w:eastAsia="en-US"/>
              </w:rPr>
              <w:t>Всього податок на прибуток</w:t>
            </w:r>
          </w:p>
        </w:tc>
        <w:tc>
          <w:tcPr>
            <w:tcW w:w="1630" w:type="dxa"/>
          </w:tcPr>
          <w:p w:rsidR="000C670C" w:rsidRPr="00050B6A" w:rsidRDefault="000C670C" w:rsidP="000C670C">
            <w:pPr>
              <w:jc w:val="center"/>
              <w:rPr>
                <w:b/>
                <w:lang w:val="uk-UA" w:eastAsia="en-US"/>
              </w:rPr>
            </w:pPr>
            <w:r>
              <w:rPr>
                <w:b/>
                <w:lang w:val="uk-UA" w:eastAsia="en-US"/>
              </w:rPr>
              <w:t>62</w:t>
            </w:r>
          </w:p>
        </w:tc>
        <w:tc>
          <w:tcPr>
            <w:tcW w:w="1630" w:type="dxa"/>
          </w:tcPr>
          <w:p w:rsidR="000C670C" w:rsidRPr="00050B6A" w:rsidRDefault="00BC18B9" w:rsidP="000C670C">
            <w:pPr>
              <w:jc w:val="center"/>
              <w:rPr>
                <w:b/>
                <w:lang w:val="uk-UA" w:eastAsia="en-US"/>
              </w:rPr>
            </w:pPr>
            <w:r>
              <w:rPr>
                <w:b/>
                <w:lang w:val="uk-UA" w:eastAsia="en-US"/>
              </w:rPr>
              <w:t>26</w:t>
            </w:r>
          </w:p>
        </w:tc>
      </w:tr>
    </w:tbl>
    <w:p w:rsidR="007256C8" w:rsidRDefault="001B2214" w:rsidP="001B2214">
      <w:pPr>
        <w:jc w:val="both"/>
        <w:rPr>
          <w:lang w:val="uk-UA" w:eastAsia="en-US"/>
        </w:rPr>
      </w:pPr>
      <w:r w:rsidRPr="002C5E81">
        <w:rPr>
          <w:lang w:val="uk-UA" w:eastAsia="en-US"/>
        </w:rPr>
        <w:t>Доходи Товариства оподатковуються за ставкою 18%</w:t>
      </w:r>
      <w:r w:rsidR="001C7D9F">
        <w:rPr>
          <w:lang w:val="uk-UA" w:eastAsia="en-US"/>
        </w:rPr>
        <w:t>.</w:t>
      </w:r>
    </w:p>
    <w:p w:rsidR="007256C8" w:rsidRDefault="007256C8" w:rsidP="001B2214">
      <w:pPr>
        <w:jc w:val="both"/>
        <w:rPr>
          <w:lang w:val="uk-UA" w:eastAsia="en-US"/>
        </w:rPr>
      </w:pPr>
    </w:p>
    <w:p w:rsidR="006105C8" w:rsidRPr="006105C8" w:rsidRDefault="006105C8" w:rsidP="001B2214">
      <w:pPr>
        <w:jc w:val="both"/>
        <w:rPr>
          <w:u w:val="single"/>
          <w:lang w:val="uk-UA" w:eastAsia="en-US"/>
        </w:rPr>
      </w:pPr>
      <w:r w:rsidRPr="006105C8">
        <w:rPr>
          <w:u w:val="single"/>
          <w:lang w:val="uk-UA" w:eastAsia="en-US"/>
        </w:rPr>
        <w:t>Чистий фінансовий результат</w:t>
      </w:r>
    </w:p>
    <w:p w:rsidR="006105C8" w:rsidRDefault="006105C8" w:rsidP="001B2214">
      <w:pPr>
        <w:jc w:val="both"/>
        <w:rPr>
          <w:lang w:val="uk-UA"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1630"/>
        <w:gridCol w:w="1630"/>
      </w:tblGrid>
      <w:tr w:rsidR="007256C8" w:rsidRPr="002C5E81" w:rsidTr="00D81E9C">
        <w:trPr>
          <w:trHeight w:val="391"/>
        </w:trPr>
        <w:tc>
          <w:tcPr>
            <w:tcW w:w="6487" w:type="dxa"/>
          </w:tcPr>
          <w:p w:rsidR="007256C8" w:rsidRPr="002C5E81" w:rsidRDefault="007256C8" w:rsidP="00D81E9C">
            <w:pPr>
              <w:jc w:val="both"/>
              <w:rPr>
                <w:lang w:val="uk-UA" w:eastAsia="en-US"/>
              </w:rPr>
            </w:pPr>
          </w:p>
        </w:tc>
        <w:tc>
          <w:tcPr>
            <w:tcW w:w="1630" w:type="dxa"/>
          </w:tcPr>
          <w:p w:rsidR="007256C8" w:rsidRPr="002C5E81" w:rsidRDefault="007256C8" w:rsidP="00D81E9C">
            <w:pPr>
              <w:jc w:val="center"/>
              <w:rPr>
                <w:lang w:val="uk-UA" w:eastAsia="en-US"/>
              </w:rPr>
            </w:pPr>
            <w:r w:rsidRPr="002C5E81">
              <w:rPr>
                <w:lang w:val="uk-UA" w:eastAsia="en-US"/>
              </w:rPr>
              <w:t>201</w:t>
            </w:r>
            <w:r w:rsidR="000C670C">
              <w:rPr>
                <w:lang w:val="uk-UA" w:eastAsia="en-US"/>
              </w:rPr>
              <w:t>9</w:t>
            </w:r>
            <w:r w:rsidRPr="002C5E81">
              <w:rPr>
                <w:lang w:val="uk-UA" w:eastAsia="en-US"/>
              </w:rPr>
              <w:t xml:space="preserve"> рік</w:t>
            </w:r>
          </w:p>
        </w:tc>
        <w:tc>
          <w:tcPr>
            <w:tcW w:w="1630" w:type="dxa"/>
          </w:tcPr>
          <w:p w:rsidR="007256C8" w:rsidRPr="002C5E81" w:rsidRDefault="00BC18B9" w:rsidP="00D81E9C">
            <w:pPr>
              <w:jc w:val="center"/>
              <w:rPr>
                <w:lang w:val="uk-UA" w:eastAsia="en-US"/>
              </w:rPr>
            </w:pPr>
            <w:r>
              <w:rPr>
                <w:lang w:val="uk-UA" w:eastAsia="en-US"/>
              </w:rPr>
              <w:t>2020</w:t>
            </w:r>
            <w:r w:rsidR="007256C8" w:rsidRPr="002C5E81">
              <w:rPr>
                <w:lang w:val="uk-UA" w:eastAsia="en-US"/>
              </w:rPr>
              <w:t xml:space="preserve"> рік</w:t>
            </w:r>
          </w:p>
        </w:tc>
      </w:tr>
      <w:tr w:rsidR="007256C8" w:rsidRPr="002C5E81" w:rsidTr="00D81E9C">
        <w:trPr>
          <w:trHeight w:val="292"/>
        </w:trPr>
        <w:tc>
          <w:tcPr>
            <w:tcW w:w="6487" w:type="dxa"/>
          </w:tcPr>
          <w:p w:rsidR="007256C8" w:rsidRPr="002C5E81" w:rsidRDefault="006105C8" w:rsidP="00D81E9C">
            <w:pPr>
              <w:jc w:val="both"/>
              <w:rPr>
                <w:lang w:val="uk-UA" w:eastAsia="en-US"/>
              </w:rPr>
            </w:pPr>
            <w:r>
              <w:rPr>
                <w:lang w:val="uk-UA" w:eastAsia="en-US"/>
              </w:rPr>
              <w:t>Прибуток</w:t>
            </w:r>
          </w:p>
        </w:tc>
        <w:tc>
          <w:tcPr>
            <w:tcW w:w="1630" w:type="dxa"/>
          </w:tcPr>
          <w:p w:rsidR="007256C8" w:rsidRPr="002C5E81" w:rsidRDefault="000C670C" w:rsidP="00D81E9C">
            <w:pPr>
              <w:jc w:val="center"/>
              <w:rPr>
                <w:lang w:val="uk-UA" w:eastAsia="en-US"/>
              </w:rPr>
            </w:pPr>
            <w:r>
              <w:rPr>
                <w:lang w:val="uk-UA" w:eastAsia="en-US"/>
              </w:rPr>
              <w:t>284</w:t>
            </w:r>
          </w:p>
        </w:tc>
        <w:tc>
          <w:tcPr>
            <w:tcW w:w="1630" w:type="dxa"/>
          </w:tcPr>
          <w:p w:rsidR="007256C8" w:rsidRPr="002C5E81" w:rsidRDefault="00AA6080" w:rsidP="006105C8">
            <w:pPr>
              <w:jc w:val="center"/>
              <w:rPr>
                <w:lang w:val="uk-UA" w:eastAsia="en-US"/>
              </w:rPr>
            </w:pPr>
            <w:r>
              <w:rPr>
                <w:lang w:val="uk-UA" w:eastAsia="en-US"/>
              </w:rPr>
              <w:t>93</w:t>
            </w:r>
          </w:p>
        </w:tc>
      </w:tr>
    </w:tbl>
    <w:p w:rsidR="001B2214" w:rsidRDefault="001B2214" w:rsidP="001B2214">
      <w:pPr>
        <w:jc w:val="both"/>
        <w:rPr>
          <w:lang w:val="uk-UA" w:eastAsia="en-US"/>
        </w:rPr>
      </w:pPr>
    </w:p>
    <w:p w:rsidR="001B2214" w:rsidRPr="00006C60" w:rsidRDefault="001B2214" w:rsidP="001B2214">
      <w:pPr>
        <w:rPr>
          <w:b/>
          <w:lang w:val="uk-UA"/>
        </w:rPr>
      </w:pPr>
      <w:bookmarkStart w:id="1" w:name="bookmark54"/>
      <w:r w:rsidRPr="00006C60">
        <w:rPr>
          <w:b/>
          <w:lang w:val="uk-UA"/>
        </w:rPr>
        <w:t xml:space="preserve">7.3. </w:t>
      </w:r>
      <w:r w:rsidR="006105C8" w:rsidRPr="00603C20">
        <w:rPr>
          <w:b/>
          <w:bCs/>
          <w:iCs/>
          <w:color w:val="000000"/>
          <w:lang w:val="uk-UA" w:eastAsia="uk-UA"/>
        </w:rPr>
        <w:t xml:space="preserve">Розкриття інформації, що підтверджує статті, подані </w:t>
      </w:r>
      <w:r w:rsidR="006105C8">
        <w:rPr>
          <w:b/>
          <w:bCs/>
          <w:iCs/>
          <w:color w:val="000000"/>
          <w:lang w:val="uk-UA" w:eastAsia="uk-UA"/>
        </w:rPr>
        <w:t xml:space="preserve">у </w:t>
      </w:r>
      <w:r w:rsidRPr="00006C60">
        <w:rPr>
          <w:b/>
          <w:lang w:val="uk-UA"/>
        </w:rPr>
        <w:t>Звіт</w:t>
      </w:r>
      <w:r w:rsidR="006105C8">
        <w:rPr>
          <w:b/>
          <w:lang w:val="uk-UA"/>
        </w:rPr>
        <w:t>і</w:t>
      </w:r>
      <w:r w:rsidRPr="00006C60">
        <w:rPr>
          <w:b/>
          <w:lang w:val="uk-UA"/>
        </w:rPr>
        <w:t xml:space="preserve"> про рух грошових коштів</w:t>
      </w:r>
    </w:p>
    <w:bookmarkEnd w:id="1"/>
    <w:p w:rsidR="001B2214" w:rsidRDefault="001B2214" w:rsidP="001B2214">
      <w:pPr>
        <w:jc w:val="both"/>
        <w:rPr>
          <w:lang w:val="uk-UA"/>
        </w:rPr>
      </w:pPr>
    </w:p>
    <w:p w:rsidR="001B2214" w:rsidRPr="00F31920" w:rsidRDefault="001B2214" w:rsidP="001B2214">
      <w:pPr>
        <w:jc w:val="both"/>
        <w:rPr>
          <w:u w:val="single"/>
          <w:lang w:val="uk-UA"/>
        </w:rPr>
      </w:pPr>
      <w:r w:rsidRPr="00F31920">
        <w:rPr>
          <w:u w:val="single"/>
          <w:lang w:val="uk-UA"/>
        </w:rPr>
        <w:t xml:space="preserve">Надходження коштів у результаті операційної діяльності: </w:t>
      </w:r>
    </w:p>
    <w:p w:rsidR="001B2214" w:rsidRPr="00535E93" w:rsidRDefault="001B2214" w:rsidP="001B2214">
      <w:pPr>
        <w:jc w:val="right"/>
        <w:rPr>
          <w:lang w:val="uk-UA"/>
        </w:rPr>
      </w:pPr>
      <w:r w:rsidRPr="008B7479">
        <w:rPr>
          <w:lang w:val="uk-UA"/>
        </w:rPr>
        <w:t>тис. грн.</w:t>
      </w:r>
    </w:p>
    <w:tbl>
      <w:tblPr>
        <w:tblOverlap w:val="neve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379"/>
        <w:gridCol w:w="1630"/>
        <w:gridCol w:w="1630"/>
      </w:tblGrid>
      <w:tr w:rsidR="000C670C" w:rsidRPr="00796135" w:rsidTr="000C670C">
        <w:trPr>
          <w:trHeight w:val="346"/>
        </w:trPr>
        <w:tc>
          <w:tcPr>
            <w:tcW w:w="6379" w:type="dxa"/>
            <w:shd w:val="clear" w:color="auto" w:fill="FFFFFF"/>
          </w:tcPr>
          <w:p w:rsidR="000C670C" w:rsidRPr="00796135" w:rsidRDefault="000C670C" w:rsidP="000C670C">
            <w:pPr>
              <w:jc w:val="both"/>
              <w:rPr>
                <w:sz w:val="22"/>
                <w:szCs w:val="22"/>
              </w:rPr>
            </w:pPr>
          </w:p>
        </w:tc>
        <w:tc>
          <w:tcPr>
            <w:tcW w:w="1630" w:type="dxa"/>
            <w:shd w:val="clear" w:color="auto" w:fill="FFFFFF"/>
          </w:tcPr>
          <w:p w:rsidR="000C670C" w:rsidRPr="00F26643" w:rsidRDefault="000C670C" w:rsidP="000C670C">
            <w:pPr>
              <w:jc w:val="center"/>
            </w:pPr>
            <w:r w:rsidRPr="00F26643">
              <w:t>2019  рік</w:t>
            </w:r>
          </w:p>
        </w:tc>
        <w:tc>
          <w:tcPr>
            <w:tcW w:w="1630" w:type="dxa"/>
            <w:shd w:val="clear" w:color="auto" w:fill="FFFFFF"/>
          </w:tcPr>
          <w:p w:rsidR="000C670C" w:rsidRPr="00F26643" w:rsidRDefault="00BC18B9" w:rsidP="000C670C">
            <w:pPr>
              <w:jc w:val="center"/>
            </w:pPr>
            <w:r>
              <w:t>2020</w:t>
            </w:r>
            <w:r w:rsidR="000C670C" w:rsidRPr="00F26643">
              <w:t xml:space="preserve">  рік</w:t>
            </w:r>
          </w:p>
        </w:tc>
      </w:tr>
      <w:tr w:rsidR="000C670C" w:rsidRPr="008B7479" w:rsidTr="000C670C">
        <w:trPr>
          <w:trHeight w:val="346"/>
        </w:trPr>
        <w:tc>
          <w:tcPr>
            <w:tcW w:w="6379" w:type="dxa"/>
            <w:shd w:val="clear" w:color="auto" w:fill="FFFFFF"/>
          </w:tcPr>
          <w:p w:rsidR="000C670C" w:rsidRPr="008B7479" w:rsidRDefault="000C670C" w:rsidP="000C670C">
            <w:pPr>
              <w:jc w:val="both"/>
            </w:pPr>
            <w:r w:rsidRPr="008B7479">
              <w:t>Реалізація продукції (товарів, робіт, послуг)</w:t>
            </w:r>
          </w:p>
        </w:tc>
        <w:tc>
          <w:tcPr>
            <w:tcW w:w="1630" w:type="dxa"/>
            <w:shd w:val="clear" w:color="auto" w:fill="FFFFFF"/>
          </w:tcPr>
          <w:p w:rsidR="000C670C" w:rsidRPr="00F31920" w:rsidRDefault="000C670C" w:rsidP="000C670C">
            <w:pPr>
              <w:jc w:val="center"/>
              <w:rPr>
                <w:lang w:val="uk-UA"/>
              </w:rPr>
            </w:pPr>
            <w:r>
              <w:rPr>
                <w:lang w:val="uk-UA"/>
              </w:rPr>
              <w:t>2 895</w:t>
            </w:r>
          </w:p>
        </w:tc>
        <w:tc>
          <w:tcPr>
            <w:tcW w:w="1630" w:type="dxa"/>
            <w:shd w:val="clear" w:color="auto" w:fill="FFFFFF"/>
          </w:tcPr>
          <w:p w:rsidR="000C670C" w:rsidRPr="00F31920" w:rsidRDefault="007A6C6D" w:rsidP="005E210F">
            <w:pPr>
              <w:jc w:val="center"/>
              <w:rPr>
                <w:lang w:val="uk-UA"/>
              </w:rPr>
            </w:pPr>
            <w:r>
              <w:rPr>
                <w:lang w:val="uk-UA"/>
              </w:rPr>
              <w:t xml:space="preserve">3 </w:t>
            </w:r>
            <w:r w:rsidR="005E210F">
              <w:rPr>
                <w:lang w:val="uk-UA"/>
              </w:rPr>
              <w:t>065</w:t>
            </w:r>
          </w:p>
        </w:tc>
      </w:tr>
      <w:tr w:rsidR="000C670C" w:rsidRPr="008B7479" w:rsidTr="000C670C">
        <w:trPr>
          <w:trHeight w:val="346"/>
        </w:trPr>
        <w:tc>
          <w:tcPr>
            <w:tcW w:w="6379" w:type="dxa"/>
            <w:shd w:val="clear" w:color="auto" w:fill="FFFFFF"/>
          </w:tcPr>
          <w:p w:rsidR="000C670C" w:rsidRPr="008B7479" w:rsidRDefault="000C670C" w:rsidP="000C670C">
            <w:pPr>
              <w:jc w:val="both"/>
            </w:pPr>
            <w:r w:rsidRPr="008B7479">
              <w:t>Надходження від боржників неустойки (штрафів, пені)</w:t>
            </w:r>
          </w:p>
        </w:tc>
        <w:tc>
          <w:tcPr>
            <w:tcW w:w="1630" w:type="dxa"/>
            <w:shd w:val="clear" w:color="auto" w:fill="FFFFFF"/>
          </w:tcPr>
          <w:p w:rsidR="000C670C" w:rsidRPr="00750158" w:rsidRDefault="000C670C" w:rsidP="000C670C">
            <w:pPr>
              <w:jc w:val="center"/>
            </w:pPr>
          </w:p>
        </w:tc>
        <w:tc>
          <w:tcPr>
            <w:tcW w:w="1630" w:type="dxa"/>
            <w:shd w:val="clear" w:color="auto" w:fill="FFFFFF"/>
          </w:tcPr>
          <w:p w:rsidR="000C670C" w:rsidRPr="00750158" w:rsidRDefault="000C670C" w:rsidP="000C670C">
            <w:pPr>
              <w:jc w:val="center"/>
            </w:pPr>
          </w:p>
        </w:tc>
      </w:tr>
      <w:tr w:rsidR="000C670C" w:rsidRPr="008B7479" w:rsidTr="000C670C">
        <w:trPr>
          <w:trHeight w:val="346"/>
        </w:trPr>
        <w:tc>
          <w:tcPr>
            <w:tcW w:w="6379" w:type="dxa"/>
            <w:shd w:val="clear" w:color="auto" w:fill="FFFFFF"/>
          </w:tcPr>
          <w:p w:rsidR="000C670C" w:rsidRPr="008B7479" w:rsidRDefault="000C670C" w:rsidP="000C670C">
            <w:pPr>
              <w:jc w:val="both"/>
            </w:pPr>
            <w:r w:rsidRPr="008B7479">
              <w:t>Надходження фінансових установ  від повернення позик</w:t>
            </w:r>
          </w:p>
        </w:tc>
        <w:tc>
          <w:tcPr>
            <w:tcW w:w="1630" w:type="dxa"/>
            <w:shd w:val="clear" w:color="auto" w:fill="FFFFFF"/>
          </w:tcPr>
          <w:p w:rsidR="000C670C" w:rsidRPr="00F31920" w:rsidRDefault="000C670C" w:rsidP="000C670C">
            <w:pPr>
              <w:jc w:val="center"/>
              <w:rPr>
                <w:lang w:val="uk-UA"/>
              </w:rPr>
            </w:pPr>
            <w:r>
              <w:rPr>
                <w:lang w:val="uk-UA"/>
              </w:rPr>
              <w:t>17  609</w:t>
            </w:r>
          </w:p>
        </w:tc>
        <w:tc>
          <w:tcPr>
            <w:tcW w:w="1630" w:type="dxa"/>
            <w:shd w:val="clear" w:color="auto" w:fill="FFFFFF"/>
          </w:tcPr>
          <w:p w:rsidR="000C670C" w:rsidRPr="00F31920" w:rsidRDefault="00BC18B9" w:rsidP="00BC18B9">
            <w:pPr>
              <w:jc w:val="center"/>
              <w:rPr>
                <w:lang w:val="uk-UA"/>
              </w:rPr>
            </w:pPr>
            <w:r>
              <w:rPr>
                <w:lang w:val="uk-UA"/>
              </w:rPr>
              <w:t>15</w:t>
            </w:r>
            <w:r w:rsidR="000C670C">
              <w:rPr>
                <w:lang w:val="uk-UA"/>
              </w:rPr>
              <w:t xml:space="preserve">  6</w:t>
            </w:r>
            <w:r>
              <w:rPr>
                <w:lang w:val="uk-UA"/>
              </w:rPr>
              <w:t>81</w:t>
            </w:r>
          </w:p>
        </w:tc>
      </w:tr>
      <w:tr w:rsidR="000C670C" w:rsidRPr="008B7479" w:rsidTr="000C670C">
        <w:trPr>
          <w:trHeight w:val="346"/>
        </w:trPr>
        <w:tc>
          <w:tcPr>
            <w:tcW w:w="6379" w:type="dxa"/>
            <w:shd w:val="clear" w:color="auto" w:fill="FFFFFF"/>
          </w:tcPr>
          <w:p w:rsidR="000C670C" w:rsidRPr="008B7479" w:rsidRDefault="000C670C" w:rsidP="000C670C">
            <w:pPr>
              <w:jc w:val="both"/>
            </w:pPr>
            <w:r w:rsidRPr="008B7479">
              <w:t>Інші надходження</w:t>
            </w:r>
          </w:p>
        </w:tc>
        <w:tc>
          <w:tcPr>
            <w:tcW w:w="1630" w:type="dxa"/>
            <w:shd w:val="clear" w:color="auto" w:fill="FFFFFF"/>
          </w:tcPr>
          <w:p w:rsidR="000C670C" w:rsidRPr="00F31920" w:rsidRDefault="000C670C" w:rsidP="000C670C">
            <w:pPr>
              <w:jc w:val="center"/>
              <w:rPr>
                <w:lang w:val="uk-UA"/>
              </w:rPr>
            </w:pPr>
            <w:r>
              <w:rPr>
                <w:lang w:val="uk-UA"/>
              </w:rPr>
              <w:t>2 220</w:t>
            </w:r>
          </w:p>
        </w:tc>
        <w:tc>
          <w:tcPr>
            <w:tcW w:w="1630" w:type="dxa"/>
            <w:shd w:val="clear" w:color="auto" w:fill="FFFFFF"/>
          </w:tcPr>
          <w:p w:rsidR="000C670C" w:rsidRPr="00F31920" w:rsidRDefault="00AA6080" w:rsidP="000C670C">
            <w:pPr>
              <w:jc w:val="center"/>
              <w:rPr>
                <w:lang w:val="uk-UA"/>
              </w:rPr>
            </w:pPr>
            <w:r>
              <w:rPr>
                <w:lang w:val="uk-UA"/>
              </w:rPr>
              <w:t>2 656</w:t>
            </w:r>
          </w:p>
        </w:tc>
      </w:tr>
      <w:tr w:rsidR="000C670C" w:rsidRPr="00006C60" w:rsidTr="000C670C">
        <w:trPr>
          <w:trHeight w:val="346"/>
        </w:trPr>
        <w:tc>
          <w:tcPr>
            <w:tcW w:w="6379" w:type="dxa"/>
            <w:shd w:val="clear" w:color="auto" w:fill="FFFFFF"/>
          </w:tcPr>
          <w:p w:rsidR="000C670C" w:rsidRPr="00006C60" w:rsidRDefault="000C670C" w:rsidP="000C670C">
            <w:pPr>
              <w:jc w:val="both"/>
              <w:rPr>
                <w:b/>
              </w:rPr>
            </w:pPr>
            <w:r w:rsidRPr="00006C60">
              <w:rPr>
                <w:b/>
              </w:rPr>
              <w:t>Всього надходжень від операційної діяльності</w:t>
            </w:r>
          </w:p>
        </w:tc>
        <w:tc>
          <w:tcPr>
            <w:tcW w:w="1630" w:type="dxa"/>
            <w:shd w:val="clear" w:color="auto" w:fill="FFFFFF"/>
          </w:tcPr>
          <w:p w:rsidR="000C670C" w:rsidRPr="00F31920" w:rsidRDefault="000C670C" w:rsidP="000C670C">
            <w:pPr>
              <w:jc w:val="center"/>
              <w:rPr>
                <w:b/>
                <w:lang w:val="uk-UA"/>
              </w:rPr>
            </w:pPr>
            <w:r>
              <w:rPr>
                <w:b/>
                <w:lang w:val="uk-UA"/>
              </w:rPr>
              <w:t>22 724</w:t>
            </w:r>
          </w:p>
        </w:tc>
        <w:tc>
          <w:tcPr>
            <w:tcW w:w="1630" w:type="dxa"/>
            <w:shd w:val="clear" w:color="auto" w:fill="FFFFFF"/>
          </w:tcPr>
          <w:p w:rsidR="000C670C" w:rsidRPr="00F31920" w:rsidRDefault="00AA6080" w:rsidP="003C5A38">
            <w:pPr>
              <w:jc w:val="center"/>
              <w:rPr>
                <w:b/>
                <w:lang w:val="uk-UA"/>
              </w:rPr>
            </w:pPr>
            <w:r>
              <w:rPr>
                <w:b/>
                <w:lang w:val="uk-UA"/>
              </w:rPr>
              <w:t>21 402</w:t>
            </w:r>
          </w:p>
        </w:tc>
      </w:tr>
    </w:tbl>
    <w:p w:rsidR="001B2214" w:rsidRPr="00006C60" w:rsidRDefault="001B2214" w:rsidP="001B2214">
      <w:pPr>
        <w:jc w:val="both"/>
        <w:rPr>
          <w:rStyle w:val="11pt"/>
          <w:rFonts w:eastAsia="Calibri"/>
        </w:rPr>
      </w:pPr>
    </w:p>
    <w:p w:rsidR="001B2214" w:rsidRPr="00F31920" w:rsidRDefault="001B2214" w:rsidP="001B2214">
      <w:pPr>
        <w:jc w:val="both"/>
        <w:rPr>
          <w:rStyle w:val="11pt"/>
          <w:rFonts w:eastAsia="Calibri"/>
          <w:b w:val="0"/>
          <w:u w:val="single"/>
        </w:rPr>
      </w:pPr>
      <w:r w:rsidRPr="00F31920">
        <w:rPr>
          <w:rStyle w:val="11pt"/>
          <w:rFonts w:eastAsia="Calibri"/>
          <w:b w:val="0"/>
          <w:u w:val="single"/>
        </w:rPr>
        <w:t xml:space="preserve">Витрачання на операційну діяльність: </w:t>
      </w:r>
    </w:p>
    <w:p w:rsidR="001B2214" w:rsidRPr="00535E93" w:rsidRDefault="001B2214" w:rsidP="001B2214">
      <w:pPr>
        <w:jc w:val="right"/>
        <w:rPr>
          <w:lang w:val="uk-UA"/>
        </w:rPr>
      </w:pPr>
      <w:r w:rsidRPr="008B7479">
        <w:rPr>
          <w:lang w:val="uk-UA"/>
        </w:rPr>
        <w:t>тис. грн.</w:t>
      </w:r>
    </w:p>
    <w:tbl>
      <w:tblPr>
        <w:tblOverlap w:val="never"/>
        <w:tblW w:w="9639" w:type="dxa"/>
        <w:tblInd w:w="10" w:type="dxa"/>
        <w:tblLayout w:type="fixed"/>
        <w:tblCellMar>
          <w:left w:w="10" w:type="dxa"/>
          <w:right w:w="10" w:type="dxa"/>
        </w:tblCellMar>
        <w:tblLook w:val="0000" w:firstRow="0" w:lastRow="0" w:firstColumn="0" w:lastColumn="0" w:noHBand="0" w:noVBand="0"/>
      </w:tblPr>
      <w:tblGrid>
        <w:gridCol w:w="6379"/>
        <w:gridCol w:w="1630"/>
        <w:gridCol w:w="1630"/>
      </w:tblGrid>
      <w:tr w:rsidR="000C670C" w:rsidRPr="008B7479" w:rsidTr="000C670C">
        <w:trPr>
          <w:trHeight w:val="376"/>
        </w:trPr>
        <w:tc>
          <w:tcPr>
            <w:tcW w:w="6379" w:type="dxa"/>
            <w:tcBorders>
              <w:top w:val="single" w:sz="4" w:space="0" w:color="auto"/>
              <w:left w:val="single" w:sz="4" w:space="0" w:color="auto"/>
            </w:tcBorders>
            <w:shd w:val="clear" w:color="auto" w:fill="FFFFFF"/>
          </w:tcPr>
          <w:p w:rsidR="000C670C" w:rsidRPr="008B7479" w:rsidRDefault="000C670C" w:rsidP="000C670C">
            <w:pPr>
              <w:jc w:val="both"/>
            </w:pPr>
          </w:p>
        </w:tc>
        <w:tc>
          <w:tcPr>
            <w:tcW w:w="1630" w:type="dxa"/>
            <w:tcBorders>
              <w:top w:val="single" w:sz="4" w:space="0" w:color="auto"/>
              <w:left w:val="single" w:sz="4" w:space="0" w:color="auto"/>
            </w:tcBorders>
            <w:shd w:val="clear" w:color="auto" w:fill="FFFFFF"/>
          </w:tcPr>
          <w:p w:rsidR="000C670C" w:rsidRPr="008B7479" w:rsidRDefault="000C670C" w:rsidP="000C670C">
            <w:pPr>
              <w:jc w:val="center"/>
            </w:pPr>
            <w:r w:rsidRPr="008B7479">
              <w:t>2019  рік</w:t>
            </w:r>
          </w:p>
        </w:tc>
        <w:tc>
          <w:tcPr>
            <w:tcW w:w="1630" w:type="dxa"/>
            <w:tcBorders>
              <w:top w:val="single" w:sz="4" w:space="0" w:color="auto"/>
              <w:left w:val="single" w:sz="4" w:space="0" w:color="auto"/>
              <w:right w:val="single" w:sz="4" w:space="0" w:color="auto"/>
            </w:tcBorders>
            <w:shd w:val="clear" w:color="auto" w:fill="FFFFFF"/>
          </w:tcPr>
          <w:p w:rsidR="000C670C" w:rsidRPr="008B7479" w:rsidRDefault="003C5A38" w:rsidP="000C670C">
            <w:pPr>
              <w:jc w:val="center"/>
            </w:pPr>
            <w:r>
              <w:t>2020</w:t>
            </w:r>
            <w:r w:rsidR="000C670C" w:rsidRPr="008B7479">
              <w:t xml:space="preserve">  рік</w:t>
            </w:r>
          </w:p>
        </w:tc>
      </w:tr>
      <w:tr w:rsidR="000C670C" w:rsidRPr="008B7479" w:rsidTr="000C670C">
        <w:trPr>
          <w:trHeight w:val="376"/>
        </w:trPr>
        <w:tc>
          <w:tcPr>
            <w:tcW w:w="6379" w:type="dxa"/>
            <w:tcBorders>
              <w:top w:val="single" w:sz="4" w:space="0" w:color="auto"/>
              <w:left w:val="single" w:sz="4" w:space="0" w:color="auto"/>
            </w:tcBorders>
            <w:shd w:val="clear" w:color="auto" w:fill="FFFFFF"/>
            <w:vAlign w:val="bottom"/>
          </w:tcPr>
          <w:p w:rsidR="000C670C" w:rsidRPr="008B7479" w:rsidRDefault="000C670C" w:rsidP="000C670C">
            <w:pPr>
              <w:jc w:val="both"/>
            </w:pPr>
            <w:r w:rsidRPr="008B7479">
              <w:t xml:space="preserve">Витрачання на оплату товарів (робіт, послуг)  </w:t>
            </w:r>
          </w:p>
        </w:tc>
        <w:tc>
          <w:tcPr>
            <w:tcW w:w="1630" w:type="dxa"/>
            <w:tcBorders>
              <w:top w:val="single" w:sz="4" w:space="0" w:color="auto"/>
              <w:left w:val="single" w:sz="4" w:space="0" w:color="auto"/>
            </w:tcBorders>
            <w:shd w:val="clear" w:color="auto" w:fill="FFFFFF"/>
          </w:tcPr>
          <w:p w:rsidR="000C670C" w:rsidRPr="00F31920" w:rsidRDefault="000C670C" w:rsidP="000C670C">
            <w:pPr>
              <w:jc w:val="center"/>
              <w:rPr>
                <w:lang w:val="uk-UA"/>
              </w:rPr>
            </w:pPr>
            <w:r>
              <w:rPr>
                <w:lang w:val="uk-UA"/>
              </w:rPr>
              <w:t>1 404</w:t>
            </w:r>
          </w:p>
        </w:tc>
        <w:tc>
          <w:tcPr>
            <w:tcW w:w="1630" w:type="dxa"/>
            <w:tcBorders>
              <w:top w:val="single" w:sz="4" w:space="0" w:color="auto"/>
              <w:left w:val="single" w:sz="4" w:space="0" w:color="auto"/>
              <w:right w:val="single" w:sz="4" w:space="0" w:color="auto"/>
            </w:tcBorders>
            <w:shd w:val="clear" w:color="auto" w:fill="FFFFFF"/>
          </w:tcPr>
          <w:p w:rsidR="000C670C" w:rsidRPr="00F31920" w:rsidRDefault="005A1B72" w:rsidP="000C670C">
            <w:pPr>
              <w:jc w:val="center"/>
              <w:rPr>
                <w:lang w:val="uk-UA"/>
              </w:rPr>
            </w:pPr>
            <w:r>
              <w:rPr>
                <w:lang w:val="uk-UA"/>
              </w:rPr>
              <w:t>1628</w:t>
            </w:r>
          </w:p>
        </w:tc>
      </w:tr>
      <w:tr w:rsidR="000C670C" w:rsidRPr="008B7479" w:rsidTr="000C670C">
        <w:trPr>
          <w:trHeight w:val="376"/>
        </w:trPr>
        <w:tc>
          <w:tcPr>
            <w:tcW w:w="6379" w:type="dxa"/>
            <w:tcBorders>
              <w:top w:val="single" w:sz="4" w:space="0" w:color="auto"/>
              <w:left w:val="single" w:sz="4" w:space="0" w:color="auto"/>
            </w:tcBorders>
            <w:shd w:val="clear" w:color="auto" w:fill="FFFFFF"/>
            <w:vAlign w:val="bottom"/>
          </w:tcPr>
          <w:p w:rsidR="000C670C" w:rsidRPr="008B7479" w:rsidRDefault="000C670C" w:rsidP="000C670C">
            <w:pPr>
              <w:jc w:val="both"/>
            </w:pPr>
            <w:r w:rsidRPr="008B7479">
              <w:t xml:space="preserve">Витрачання на оплату праці  </w:t>
            </w:r>
          </w:p>
        </w:tc>
        <w:tc>
          <w:tcPr>
            <w:tcW w:w="1630" w:type="dxa"/>
            <w:tcBorders>
              <w:top w:val="single" w:sz="4" w:space="0" w:color="auto"/>
              <w:left w:val="single" w:sz="4" w:space="0" w:color="auto"/>
            </w:tcBorders>
            <w:shd w:val="clear" w:color="auto" w:fill="FFFFFF"/>
          </w:tcPr>
          <w:p w:rsidR="000C670C" w:rsidRPr="00F31920" w:rsidRDefault="000C670C" w:rsidP="000C670C">
            <w:pPr>
              <w:jc w:val="center"/>
              <w:rPr>
                <w:lang w:val="uk-UA"/>
              </w:rPr>
            </w:pPr>
            <w:r>
              <w:rPr>
                <w:lang w:val="uk-UA"/>
              </w:rPr>
              <w:t>806</w:t>
            </w:r>
          </w:p>
        </w:tc>
        <w:tc>
          <w:tcPr>
            <w:tcW w:w="1630" w:type="dxa"/>
            <w:tcBorders>
              <w:top w:val="single" w:sz="4" w:space="0" w:color="auto"/>
              <w:left w:val="single" w:sz="4" w:space="0" w:color="auto"/>
              <w:right w:val="single" w:sz="4" w:space="0" w:color="auto"/>
            </w:tcBorders>
            <w:shd w:val="clear" w:color="auto" w:fill="FFFFFF"/>
          </w:tcPr>
          <w:p w:rsidR="000C670C" w:rsidRPr="00F31920" w:rsidRDefault="005A1B72" w:rsidP="000C670C">
            <w:pPr>
              <w:jc w:val="center"/>
              <w:rPr>
                <w:lang w:val="uk-UA"/>
              </w:rPr>
            </w:pPr>
            <w:r>
              <w:rPr>
                <w:lang w:val="uk-UA"/>
              </w:rPr>
              <w:t>1</w:t>
            </w:r>
            <w:r w:rsidR="00AA6080">
              <w:rPr>
                <w:lang w:val="uk-UA"/>
              </w:rPr>
              <w:t xml:space="preserve"> 0</w:t>
            </w:r>
            <w:r>
              <w:rPr>
                <w:lang w:val="uk-UA"/>
              </w:rPr>
              <w:t>77</w:t>
            </w:r>
          </w:p>
        </w:tc>
      </w:tr>
      <w:tr w:rsidR="000C670C" w:rsidRPr="008B7479" w:rsidTr="000C670C">
        <w:trPr>
          <w:trHeight w:val="376"/>
        </w:trPr>
        <w:tc>
          <w:tcPr>
            <w:tcW w:w="6379" w:type="dxa"/>
            <w:tcBorders>
              <w:top w:val="single" w:sz="4" w:space="0" w:color="auto"/>
              <w:left w:val="single" w:sz="4" w:space="0" w:color="auto"/>
            </w:tcBorders>
            <w:shd w:val="clear" w:color="auto" w:fill="FFFFFF"/>
            <w:vAlign w:val="bottom"/>
          </w:tcPr>
          <w:p w:rsidR="000C670C" w:rsidRPr="008B7479" w:rsidRDefault="000C670C" w:rsidP="000C670C">
            <w:pPr>
              <w:jc w:val="both"/>
            </w:pPr>
            <w:r w:rsidRPr="008B7479">
              <w:t xml:space="preserve">Відрахування на соціальні заходи  </w:t>
            </w:r>
          </w:p>
        </w:tc>
        <w:tc>
          <w:tcPr>
            <w:tcW w:w="1630" w:type="dxa"/>
            <w:tcBorders>
              <w:top w:val="single" w:sz="4" w:space="0" w:color="auto"/>
              <w:left w:val="single" w:sz="4" w:space="0" w:color="auto"/>
            </w:tcBorders>
            <w:shd w:val="clear" w:color="auto" w:fill="FFFFFF"/>
          </w:tcPr>
          <w:p w:rsidR="000C670C" w:rsidRPr="00F31920" w:rsidRDefault="000C670C" w:rsidP="000C670C">
            <w:pPr>
              <w:jc w:val="center"/>
              <w:rPr>
                <w:lang w:val="uk-UA"/>
              </w:rPr>
            </w:pPr>
            <w:r>
              <w:rPr>
                <w:lang w:val="uk-UA"/>
              </w:rPr>
              <w:t>224</w:t>
            </w:r>
          </w:p>
        </w:tc>
        <w:tc>
          <w:tcPr>
            <w:tcW w:w="1630" w:type="dxa"/>
            <w:tcBorders>
              <w:top w:val="single" w:sz="4" w:space="0" w:color="auto"/>
              <w:left w:val="single" w:sz="4" w:space="0" w:color="auto"/>
              <w:right w:val="single" w:sz="4" w:space="0" w:color="auto"/>
            </w:tcBorders>
            <w:shd w:val="clear" w:color="auto" w:fill="FFFFFF"/>
          </w:tcPr>
          <w:p w:rsidR="000C670C" w:rsidRPr="00F31920" w:rsidRDefault="002C07B5" w:rsidP="000C670C">
            <w:pPr>
              <w:jc w:val="center"/>
              <w:rPr>
                <w:lang w:val="uk-UA"/>
              </w:rPr>
            </w:pPr>
            <w:r>
              <w:rPr>
                <w:lang w:val="uk-UA"/>
              </w:rPr>
              <w:t>29</w:t>
            </w:r>
            <w:r w:rsidR="005A1B72">
              <w:rPr>
                <w:lang w:val="uk-UA"/>
              </w:rPr>
              <w:t>4</w:t>
            </w:r>
          </w:p>
        </w:tc>
      </w:tr>
      <w:tr w:rsidR="000C670C" w:rsidRPr="008B7479" w:rsidTr="000C670C">
        <w:trPr>
          <w:trHeight w:val="376"/>
        </w:trPr>
        <w:tc>
          <w:tcPr>
            <w:tcW w:w="6379" w:type="dxa"/>
            <w:tcBorders>
              <w:top w:val="single" w:sz="4" w:space="0" w:color="auto"/>
              <w:left w:val="single" w:sz="4" w:space="0" w:color="auto"/>
            </w:tcBorders>
            <w:shd w:val="clear" w:color="auto" w:fill="FFFFFF"/>
            <w:vAlign w:val="bottom"/>
          </w:tcPr>
          <w:p w:rsidR="000C670C" w:rsidRPr="008B7479" w:rsidRDefault="000C670C" w:rsidP="000C670C">
            <w:pPr>
              <w:jc w:val="both"/>
            </w:pPr>
            <w:r w:rsidRPr="008B7479">
              <w:t xml:space="preserve">Витрачання на оплату зобов’язань  з податків і зборів  </w:t>
            </w:r>
          </w:p>
        </w:tc>
        <w:tc>
          <w:tcPr>
            <w:tcW w:w="1630" w:type="dxa"/>
            <w:tcBorders>
              <w:top w:val="single" w:sz="4" w:space="0" w:color="auto"/>
              <w:left w:val="single" w:sz="4" w:space="0" w:color="auto"/>
            </w:tcBorders>
            <w:shd w:val="clear" w:color="auto" w:fill="FFFFFF"/>
          </w:tcPr>
          <w:p w:rsidR="000C670C" w:rsidRPr="00F31920" w:rsidRDefault="000C670C" w:rsidP="000C670C">
            <w:pPr>
              <w:jc w:val="center"/>
              <w:rPr>
                <w:lang w:val="uk-UA"/>
              </w:rPr>
            </w:pPr>
            <w:r>
              <w:rPr>
                <w:lang w:val="uk-UA"/>
              </w:rPr>
              <w:t>236</w:t>
            </w:r>
          </w:p>
        </w:tc>
        <w:tc>
          <w:tcPr>
            <w:tcW w:w="1630" w:type="dxa"/>
            <w:tcBorders>
              <w:top w:val="single" w:sz="4" w:space="0" w:color="auto"/>
              <w:left w:val="single" w:sz="4" w:space="0" w:color="auto"/>
              <w:right w:val="single" w:sz="4" w:space="0" w:color="auto"/>
            </w:tcBorders>
            <w:shd w:val="clear" w:color="auto" w:fill="FFFFFF"/>
          </w:tcPr>
          <w:p w:rsidR="000C670C" w:rsidRPr="00F31920" w:rsidRDefault="005A1B72" w:rsidP="000C670C">
            <w:pPr>
              <w:jc w:val="center"/>
              <w:rPr>
                <w:lang w:val="uk-UA"/>
              </w:rPr>
            </w:pPr>
            <w:r>
              <w:rPr>
                <w:lang w:val="uk-UA"/>
              </w:rPr>
              <w:t>316</w:t>
            </w:r>
          </w:p>
        </w:tc>
      </w:tr>
      <w:tr w:rsidR="000C670C" w:rsidRPr="008B7479" w:rsidTr="000C670C">
        <w:trPr>
          <w:trHeight w:val="376"/>
        </w:trPr>
        <w:tc>
          <w:tcPr>
            <w:tcW w:w="6379" w:type="dxa"/>
            <w:tcBorders>
              <w:top w:val="single" w:sz="4" w:space="0" w:color="auto"/>
              <w:left w:val="single" w:sz="4" w:space="0" w:color="auto"/>
            </w:tcBorders>
            <w:shd w:val="clear" w:color="auto" w:fill="FFFFFF"/>
            <w:vAlign w:val="bottom"/>
          </w:tcPr>
          <w:p w:rsidR="000C670C" w:rsidRPr="008B7479" w:rsidRDefault="000C670C" w:rsidP="000C670C">
            <w:pPr>
              <w:jc w:val="both"/>
            </w:pPr>
            <w:r w:rsidRPr="008B7479">
              <w:t xml:space="preserve">Витрачання фінансових установ на надання позик  </w:t>
            </w:r>
          </w:p>
        </w:tc>
        <w:tc>
          <w:tcPr>
            <w:tcW w:w="1630" w:type="dxa"/>
            <w:tcBorders>
              <w:top w:val="single" w:sz="4" w:space="0" w:color="auto"/>
              <w:left w:val="single" w:sz="4" w:space="0" w:color="auto"/>
            </w:tcBorders>
            <w:shd w:val="clear" w:color="auto" w:fill="FFFFFF"/>
          </w:tcPr>
          <w:p w:rsidR="000C670C" w:rsidRPr="00F31920" w:rsidRDefault="000C670C" w:rsidP="000C670C">
            <w:pPr>
              <w:jc w:val="center"/>
              <w:rPr>
                <w:lang w:val="uk-UA"/>
              </w:rPr>
            </w:pPr>
            <w:r>
              <w:rPr>
                <w:lang w:val="uk-UA"/>
              </w:rPr>
              <w:t>18 134</w:t>
            </w:r>
          </w:p>
        </w:tc>
        <w:tc>
          <w:tcPr>
            <w:tcW w:w="1630" w:type="dxa"/>
            <w:tcBorders>
              <w:top w:val="single" w:sz="4" w:space="0" w:color="auto"/>
              <w:left w:val="single" w:sz="4" w:space="0" w:color="auto"/>
              <w:right w:val="single" w:sz="4" w:space="0" w:color="auto"/>
            </w:tcBorders>
            <w:shd w:val="clear" w:color="auto" w:fill="FFFFFF"/>
          </w:tcPr>
          <w:p w:rsidR="000C670C" w:rsidRPr="00F31920" w:rsidRDefault="002C07B5" w:rsidP="002C07B5">
            <w:pPr>
              <w:jc w:val="center"/>
              <w:rPr>
                <w:lang w:val="uk-UA"/>
              </w:rPr>
            </w:pPr>
            <w:r>
              <w:rPr>
                <w:lang w:val="uk-UA"/>
              </w:rPr>
              <w:t>16</w:t>
            </w:r>
            <w:r w:rsidR="000C670C">
              <w:rPr>
                <w:lang w:val="uk-UA"/>
              </w:rPr>
              <w:t xml:space="preserve"> </w:t>
            </w:r>
            <w:r>
              <w:rPr>
                <w:lang w:val="uk-UA"/>
              </w:rPr>
              <w:t>933</w:t>
            </w:r>
          </w:p>
        </w:tc>
      </w:tr>
      <w:tr w:rsidR="000C670C" w:rsidRPr="008B7479" w:rsidTr="000C670C">
        <w:trPr>
          <w:trHeight w:val="376"/>
        </w:trPr>
        <w:tc>
          <w:tcPr>
            <w:tcW w:w="6379" w:type="dxa"/>
            <w:tcBorders>
              <w:top w:val="single" w:sz="4" w:space="0" w:color="auto"/>
              <w:left w:val="single" w:sz="4" w:space="0" w:color="auto"/>
            </w:tcBorders>
            <w:shd w:val="clear" w:color="auto" w:fill="FFFFFF"/>
          </w:tcPr>
          <w:p w:rsidR="000C670C" w:rsidRPr="008B7479" w:rsidRDefault="000C670C" w:rsidP="000C670C">
            <w:pPr>
              <w:jc w:val="both"/>
            </w:pPr>
            <w:r w:rsidRPr="008B7479">
              <w:t>Інші витрачання</w:t>
            </w:r>
          </w:p>
        </w:tc>
        <w:tc>
          <w:tcPr>
            <w:tcW w:w="1630" w:type="dxa"/>
            <w:tcBorders>
              <w:top w:val="single" w:sz="4" w:space="0" w:color="auto"/>
              <w:left w:val="single" w:sz="4" w:space="0" w:color="auto"/>
            </w:tcBorders>
            <w:shd w:val="clear" w:color="auto" w:fill="FFFFFF"/>
          </w:tcPr>
          <w:p w:rsidR="000C670C" w:rsidRPr="00F31920" w:rsidRDefault="000C670C" w:rsidP="000C670C">
            <w:pPr>
              <w:jc w:val="center"/>
              <w:rPr>
                <w:lang w:val="uk-UA"/>
              </w:rPr>
            </w:pPr>
            <w:r>
              <w:rPr>
                <w:lang w:val="uk-UA"/>
              </w:rPr>
              <w:t>1 917</w:t>
            </w:r>
          </w:p>
        </w:tc>
        <w:tc>
          <w:tcPr>
            <w:tcW w:w="1630" w:type="dxa"/>
            <w:tcBorders>
              <w:top w:val="single" w:sz="4" w:space="0" w:color="auto"/>
              <w:left w:val="single" w:sz="4" w:space="0" w:color="auto"/>
              <w:right w:val="single" w:sz="4" w:space="0" w:color="auto"/>
            </w:tcBorders>
            <w:shd w:val="clear" w:color="auto" w:fill="FFFFFF"/>
          </w:tcPr>
          <w:p w:rsidR="000C670C" w:rsidRPr="00F31920" w:rsidRDefault="005A1B72" w:rsidP="000C670C">
            <w:pPr>
              <w:jc w:val="center"/>
              <w:rPr>
                <w:lang w:val="uk-UA"/>
              </w:rPr>
            </w:pPr>
            <w:r>
              <w:rPr>
                <w:lang w:val="uk-UA"/>
              </w:rPr>
              <w:t>1</w:t>
            </w:r>
            <w:r w:rsidR="00AA6080">
              <w:rPr>
                <w:lang w:val="uk-UA"/>
              </w:rPr>
              <w:t xml:space="preserve"> 157</w:t>
            </w:r>
          </w:p>
        </w:tc>
      </w:tr>
      <w:tr w:rsidR="000C670C" w:rsidRPr="00006C60" w:rsidTr="000C670C">
        <w:trPr>
          <w:trHeight w:val="376"/>
        </w:trPr>
        <w:tc>
          <w:tcPr>
            <w:tcW w:w="6379" w:type="dxa"/>
            <w:tcBorders>
              <w:top w:val="single" w:sz="4" w:space="0" w:color="auto"/>
              <w:left w:val="single" w:sz="4" w:space="0" w:color="auto"/>
              <w:bottom w:val="single" w:sz="4" w:space="0" w:color="auto"/>
            </w:tcBorders>
            <w:shd w:val="clear" w:color="auto" w:fill="FFFFFF"/>
          </w:tcPr>
          <w:p w:rsidR="000C670C" w:rsidRPr="00006C60" w:rsidRDefault="000C670C" w:rsidP="000C670C">
            <w:pPr>
              <w:jc w:val="both"/>
              <w:rPr>
                <w:b/>
              </w:rPr>
            </w:pPr>
            <w:r w:rsidRPr="00006C60">
              <w:rPr>
                <w:b/>
              </w:rPr>
              <w:t>Разом  витрачань</w:t>
            </w:r>
          </w:p>
        </w:tc>
        <w:tc>
          <w:tcPr>
            <w:tcW w:w="1630" w:type="dxa"/>
            <w:tcBorders>
              <w:top w:val="single" w:sz="4" w:space="0" w:color="auto"/>
              <w:left w:val="single" w:sz="4" w:space="0" w:color="auto"/>
              <w:bottom w:val="single" w:sz="4" w:space="0" w:color="auto"/>
            </w:tcBorders>
            <w:shd w:val="clear" w:color="auto" w:fill="FFFFFF"/>
          </w:tcPr>
          <w:p w:rsidR="000C670C" w:rsidRPr="00F31920" w:rsidRDefault="000C670C" w:rsidP="000C670C">
            <w:pPr>
              <w:jc w:val="center"/>
              <w:rPr>
                <w:b/>
                <w:lang w:val="uk-UA"/>
              </w:rPr>
            </w:pPr>
            <w:r>
              <w:rPr>
                <w:b/>
                <w:lang w:val="uk-UA"/>
              </w:rPr>
              <w:t>22 721</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0C670C" w:rsidRPr="00F31920" w:rsidRDefault="00AA6080" w:rsidP="000C670C">
            <w:pPr>
              <w:jc w:val="center"/>
              <w:rPr>
                <w:b/>
                <w:lang w:val="uk-UA"/>
              </w:rPr>
            </w:pPr>
            <w:r>
              <w:rPr>
                <w:b/>
                <w:lang w:val="uk-UA"/>
              </w:rPr>
              <w:t>21 405</w:t>
            </w:r>
          </w:p>
        </w:tc>
      </w:tr>
    </w:tbl>
    <w:p w:rsidR="001B2214" w:rsidRDefault="001B2214" w:rsidP="001B2214">
      <w:pPr>
        <w:jc w:val="both"/>
        <w:rPr>
          <w:bCs/>
          <w:lang w:val="uk-UA"/>
        </w:rPr>
      </w:pPr>
      <w:r>
        <w:rPr>
          <w:bCs/>
          <w:lang w:val="uk-UA"/>
        </w:rPr>
        <w:t>Чистий рух гро</w:t>
      </w:r>
      <w:r w:rsidR="006504B7">
        <w:rPr>
          <w:bCs/>
          <w:lang w:val="uk-UA"/>
        </w:rPr>
        <w:t>шових коштів за 2019р. склав 494</w:t>
      </w:r>
      <w:r>
        <w:rPr>
          <w:bCs/>
          <w:lang w:val="uk-UA"/>
        </w:rPr>
        <w:t xml:space="preserve"> тис.</w:t>
      </w:r>
      <w:r w:rsidR="00F31920">
        <w:rPr>
          <w:bCs/>
          <w:lang w:val="uk-UA"/>
        </w:rPr>
        <w:t xml:space="preserve"> </w:t>
      </w:r>
      <w:r>
        <w:rPr>
          <w:bCs/>
          <w:lang w:val="uk-UA"/>
        </w:rPr>
        <w:t xml:space="preserve">грн. </w:t>
      </w:r>
    </w:p>
    <w:p w:rsidR="001B2214" w:rsidRDefault="001B2214" w:rsidP="001B2214">
      <w:pPr>
        <w:jc w:val="both"/>
        <w:rPr>
          <w:smallCaps/>
          <w:lang w:val="uk-UA"/>
        </w:rPr>
      </w:pPr>
    </w:p>
    <w:p w:rsidR="001B2214" w:rsidRPr="00CE1799" w:rsidRDefault="001B2214" w:rsidP="001B2214">
      <w:pPr>
        <w:rPr>
          <w:b/>
          <w:lang w:val="uk-UA"/>
        </w:rPr>
      </w:pPr>
      <w:r w:rsidRPr="00CE1799">
        <w:rPr>
          <w:b/>
          <w:lang w:val="uk-UA"/>
        </w:rPr>
        <w:t xml:space="preserve">7.4. Звіт про власний капітал </w:t>
      </w:r>
    </w:p>
    <w:p w:rsidR="001B2214" w:rsidRDefault="001B2214" w:rsidP="001B2214">
      <w:pPr>
        <w:jc w:val="both"/>
      </w:pPr>
      <w:r w:rsidRPr="008B7479">
        <w:t xml:space="preserve">В Звіті про власний капітал </w:t>
      </w:r>
      <w:r w:rsidRPr="008B7479">
        <w:rPr>
          <w:lang w:val="uk-UA"/>
        </w:rPr>
        <w:t xml:space="preserve">Товариство </w:t>
      </w:r>
      <w:r w:rsidRPr="008B7479">
        <w:t xml:space="preserve">відображає рух власного капіталу в розрізі складових капіталу, </w:t>
      </w:r>
      <w:r>
        <w:rPr>
          <w:lang w:val="uk-UA"/>
        </w:rPr>
        <w:t xml:space="preserve">визнаного відповідно до </w:t>
      </w:r>
      <w:r>
        <w:t>МСФЗ:</w:t>
      </w:r>
    </w:p>
    <w:p w:rsidR="001B2214" w:rsidRPr="00961C4F" w:rsidRDefault="001B2214" w:rsidP="001B2214">
      <w:pPr>
        <w:jc w:val="right"/>
        <w:rPr>
          <w:lang w:val="uk-UA"/>
        </w:rPr>
      </w:pPr>
      <w:r w:rsidRPr="008B7479">
        <w:rPr>
          <w:lang w:val="uk-UA"/>
        </w:rPr>
        <w:lastRenderedPageBreak/>
        <w:t>тис. грн.</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0"/>
        <w:gridCol w:w="1701"/>
        <w:gridCol w:w="1498"/>
      </w:tblGrid>
      <w:tr w:rsidR="000C670C" w:rsidRPr="00682EFB" w:rsidTr="000C670C">
        <w:trPr>
          <w:trHeight w:val="352"/>
          <w:jc w:val="center"/>
        </w:trPr>
        <w:tc>
          <w:tcPr>
            <w:tcW w:w="6320" w:type="dxa"/>
          </w:tcPr>
          <w:p w:rsidR="000C670C" w:rsidRPr="00D80AC6" w:rsidRDefault="000C670C" w:rsidP="000C670C">
            <w:pPr>
              <w:jc w:val="both"/>
              <w:rPr>
                <w:lang w:val="uk-UA" w:eastAsia="en-US"/>
              </w:rPr>
            </w:pPr>
          </w:p>
        </w:tc>
        <w:tc>
          <w:tcPr>
            <w:tcW w:w="1701" w:type="dxa"/>
          </w:tcPr>
          <w:p w:rsidR="000C670C" w:rsidRPr="00F83824" w:rsidRDefault="000C670C" w:rsidP="000C670C">
            <w:pPr>
              <w:autoSpaceDE w:val="0"/>
              <w:autoSpaceDN w:val="0"/>
              <w:adjustRightInd w:val="0"/>
              <w:ind w:right="10" w:hanging="6"/>
              <w:jc w:val="center"/>
              <w:rPr>
                <w:b/>
                <w:lang w:val="uk-UA"/>
              </w:rPr>
            </w:pPr>
            <w:r w:rsidRPr="00F83824">
              <w:rPr>
                <w:b/>
                <w:lang w:val="uk-UA"/>
              </w:rPr>
              <w:t>31.12.2019</w:t>
            </w:r>
          </w:p>
        </w:tc>
        <w:tc>
          <w:tcPr>
            <w:tcW w:w="1498" w:type="dxa"/>
          </w:tcPr>
          <w:p w:rsidR="000C670C" w:rsidRPr="00F83824" w:rsidRDefault="000C670C" w:rsidP="000C670C">
            <w:pPr>
              <w:autoSpaceDE w:val="0"/>
              <w:autoSpaceDN w:val="0"/>
              <w:adjustRightInd w:val="0"/>
              <w:ind w:right="10" w:hanging="6"/>
              <w:jc w:val="center"/>
              <w:rPr>
                <w:b/>
                <w:lang w:val="uk-UA"/>
              </w:rPr>
            </w:pPr>
            <w:r w:rsidRPr="00F83824">
              <w:rPr>
                <w:b/>
                <w:lang w:val="uk-UA"/>
              </w:rPr>
              <w:t>31.12.2019</w:t>
            </w:r>
          </w:p>
        </w:tc>
      </w:tr>
      <w:tr w:rsidR="000C670C" w:rsidRPr="00682EFB" w:rsidTr="000C670C">
        <w:trPr>
          <w:trHeight w:val="352"/>
          <w:jc w:val="center"/>
        </w:trPr>
        <w:tc>
          <w:tcPr>
            <w:tcW w:w="6320" w:type="dxa"/>
          </w:tcPr>
          <w:p w:rsidR="000C670C" w:rsidRPr="00D80AC6" w:rsidRDefault="000C670C" w:rsidP="000C670C">
            <w:pPr>
              <w:jc w:val="both"/>
              <w:rPr>
                <w:bCs/>
                <w:iCs/>
                <w:lang w:val="uk-UA" w:eastAsia="en-US"/>
              </w:rPr>
            </w:pPr>
            <w:r w:rsidRPr="00D80AC6">
              <w:rPr>
                <w:bCs/>
                <w:iCs/>
                <w:lang w:val="uk-UA" w:eastAsia="en-US"/>
              </w:rPr>
              <w:t>Складений капітал</w:t>
            </w:r>
          </w:p>
        </w:tc>
        <w:tc>
          <w:tcPr>
            <w:tcW w:w="1701" w:type="dxa"/>
          </w:tcPr>
          <w:p w:rsidR="000C670C" w:rsidRPr="00D80AC6" w:rsidRDefault="000C670C" w:rsidP="000C670C">
            <w:pPr>
              <w:jc w:val="center"/>
              <w:rPr>
                <w:lang w:val="uk-UA" w:eastAsia="en-US"/>
              </w:rPr>
            </w:pPr>
            <w:r>
              <w:rPr>
                <w:lang w:val="uk-UA" w:eastAsia="en-US"/>
              </w:rPr>
              <w:t>1 500</w:t>
            </w:r>
          </w:p>
        </w:tc>
        <w:tc>
          <w:tcPr>
            <w:tcW w:w="1498" w:type="dxa"/>
          </w:tcPr>
          <w:p w:rsidR="000C670C" w:rsidRPr="00D80AC6" w:rsidRDefault="000C670C" w:rsidP="000C670C">
            <w:pPr>
              <w:jc w:val="center"/>
              <w:rPr>
                <w:lang w:val="uk-UA" w:eastAsia="en-US"/>
              </w:rPr>
            </w:pPr>
            <w:r>
              <w:rPr>
                <w:lang w:val="uk-UA" w:eastAsia="en-US"/>
              </w:rPr>
              <w:t>1 500</w:t>
            </w:r>
          </w:p>
        </w:tc>
      </w:tr>
      <w:tr w:rsidR="000C670C" w:rsidRPr="00682EFB" w:rsidTr="000C670C">
        <w:trPr>
          <w:trHeight w:val="352"/>
          <w:jc w:val="center"/>
        </w:trPr>
        <w:tc>
          <w:tcPr>
            <w:tcW w:w="6320" w:type="dxa"/>
          </w:tcPr>
          <w:p w:rsidR="000C670C" w:rsidRPr="00D80AC6" w:rsidRDefault="000C670C" w:rsidP="000C670C">
            <w:pPr>
              <w:jc w:val="both"/>
              <w:rPr>
                <w:lang w:val="uk-UA" w:eastAsia="en-US"/>
              </w:rPr>
            </w:pPr>
            <w:r w:rsidRPr="00D80AC6">
              <w:rPr>
                <w:lang w:val="uk-UA" w:eastAsia="en-US"/>
              </w:rPr>
              <w:t>Резервний капітал</w:t>
            </w:r>
          </w:p>
        </w:tc>
        <w:tc>
          <w:tcPr>
            <w:tcW w:w="1701" w:type="dxa"/>
          </w:tcPr>
          <w:p w:rsidR="000C670C" w:rsidRPr="00D80AC6" w:rsidRDefault="000C670C" w:rsidP="000C670C">
            <w:pPr>
              <w:jc w:val="center"/>
              <w:rPr>
                <w:lang w:val="uk-UA" w:eastAsia="en-US"/>
              </w:rPr>
            </w:pPr>
            <w:r>
              <w:rPr>
                <w:lang w:val="uk-UA" w:eastAsia="en-US"/>
              </w:rPr>
              <w:t>31</w:t>
            </w:r>
          </w:p>
        </w:tc>
        <w:tc>
          <w:tcPr>
            <w:tcW w:w="1498" w:type="dxa"/>
          </w:tcPr>
          <w:p w:rsidR="000C670C" w:rsidRPr="00D80AC6" w:rsidRDefault="000C670C" w:rsidP="000C670C">
            <w:pPr>
              <w:jc w:val="center"/>
              <w:rPr>
                <w:lang w:val="uk-UA" w:eastAsia="en-US"/>
              </w:rPr>
            </w:pPr>
            <w:r>
              <w:rPr>
                <w:lang w:val="uk-UA" w:eastAsia="en-US"/>
              </w:rPr>
              <w:t>3</w:t>
            </w:r>
            <w:r w:rsidR="00F8440D">
              <w:rPr>
                <w:lang w:val="uk-UA" w:eastAsia="en-US"/>
              </w:rPr>
              <w:t>8</w:t>
            </w:r>
          </w:p>
        </w:tc>
      </w:tr>
      <w:tr w:rsidR="000C670C" w:rsidRPr="00682EFB" w:rsidTr="000C670C">
        <w:trPr>
          <w:trHeight w:val="352"/>
          <w:jc w:val="center"/>
        </w:trPr>
        <w:tc>
          <w:tcPr>
            <w:tcW w:w="6320" w:type="dxa"/>
          </w:tcPr>
          <w:p w:rsidR="000C670C" w:rsidRPr="00D80AC6" w:rsidRDefault="000C670C" w:rsidP="000C670C">
            <w:pPr>
              <w:jc w:val="both"/>
              <w:rPr>
                <w:lang w:val="uk-UA" w:eastAsia="en-US"/>
              </w:rPr>
            </w:pPr>
            <w:r w:rsidRPr="00D80AC6">
              <w:rPr>
                <w:lang w:val="uk-UA" w:eastAsia="en-US"/>
              </w:rPr>
              <w:t>В т.ч. нарахований резервний капітал</w:t>
            </w:r>
          </w:p>
        </w:tc>
        <w:tc>
          <w:tcPr>
            <w:tcW w:w="1701" w:type="dxa"/>
          </w:tcPr>
          <w:p w:rsidR="000C670C" w:rsidRPr="00D80AC6" w:rsidRDefault="000C670C" w:rsidP="000C670C">
            <w:pPr>
              <w:jc w:val="center"/>
              <w:rPr>
                <w:lang w:val="uk-UA" w:eastAsia="en-US"/>
              </w:rPr>
            </w:pPr>
            <w:r>
              <w:rPr>
                <w:lang w:val="uk-UA" w:eastAsia="en-US"/>
              </w:rPr>
              <w:t>17</w:t>
            </w:r>
          </w:p>
        </w:tc>
        <w:tc>
          <w:tcPr>
            <w:tcW w:w="1498" w:type="dxa"/>
          </w:tcPr>
          <w:p w:rsidR="000C670C" w:rsidRPr="00D80AC6" w:rsidRDefault="00F8440D" w:rsidP="000C670C">
            <w:pPr>
              <w:jc w:val="center"/>
              <w:rPr>
                <w:lang w:val="uk-UA" w:eastAsia="en-US"/>
              </w:rPr>
            </w:pPr>
            <w:r>
              <w:rPr>
                <w:lang w:val="uk-UA" w:eastAsia="en-US"/>
              </w:rPr>
              <w:t>7</w:t>
            </w:r>
          </w:p>
        </w:tc>
      </w:tr>
      <w:tr w:rsidR="000C670C" w:rsidRPr="00682EFB" w:rsidTr="000C670C">
        <w:trPr>
          <w:trHeight w:val="352"/>
          <w:jc w:val="center"/>
        </w:trPr>
        <w:tc>
          <w:tcPr>
            <w:tcW w:w="6320" w:type="dxa"/>
          </w:tcPr>
          <w:p w:rsidR="000C670C" w:rsidRPr="00D80AC6" w:rsidRDefault="000C670C" w:rsidP="000C670C">
            <w:pPr>
              <w:jc w:val="both"/>
              <w:rPr>
                <w:lang w:val="uk-UA" w:eastAsia="en-US"/>
              </w:rPr>
            </w:pPr>
            <w:r w:rsidRPr="00D80AC6">
              <w:rPr>
                <w:lang w:val="uk-UA" w:eastAsia="en-US"/>
              </w:rPr>
              <w:t>Нерозподілений прибуток (збиток)</w:t>
            </w:r>
          </w:p>
        </w:tc>
        <w:tc>
          <w:tcPr>
            <w:tcW w:w="1701" w:type="dxa"/>
          </w:tcPr>
          <w:p w:rsidR="000C670C" w:rsidRPr="00D80AC6" w:rsidRDefault="000C670C" w:rsidP="000C670C">
            <w:pPr>
              <w:jc w:val="center"/>
              <w:rPr>
                <w:lang w:val="uk-UA" w:eastAsia="en-US"/>
              </w:rPr>
            </w:pPr>
            <w:r>
              <w:rPr>
                <w:lang w:val="uk-UA" w:eastAsia="en-US"/>
              </w:rPr>
              <w:t>588</w:t>
            </w:r>
          </w:p>
        </w:tc>
        <w:tc>
          <w:tcPr>
            <w:tcW w:w="1498" w:type="dxa"/>
          </w:tcPr>
          <w:p w:rsidR="000C670C" w:rsidRPr="00D80AC6" w:rsidRDefault="00F8440D" w:rsidP="000C670C">
            <w:pPr>
              <w:jc w:val="center"/>
              <w:rPr>
                <w:lang w:val="uk-UA" w:eastAsia="en-US"/>
              </w:rPr>
            </w:pPr>
            <w:r>
              <w:rPr>
                <w:lang w:val="uk-UA" w:eastAsia="en-US"/>
              </w:rPr>
              <w:t>67</w:t>
            </w:r>
            <w:r w:rsidR="00AA6080">
              <w:rPr>
                <w:lang w:val="uk-UA" w:eastAsia="en-US"/>
              </w:rPr>
              <w:t>4</w:t>
            </w:r>
          </w:p>
        </w:tc>
      </w:tr>
      <w:tr w:rsidR="000C670C" w:rsidRPr="00682EFB" w:rsidTr="000C670C">
        <w:trPr>
          <w:trHeight w:val="352"/>
          <w:jc w:val="center"/>
        </w:trPr>
        <w:tc>
          <w:tcPr>
            <w:tcW w:w="6320" w:type="dxa"/>
          </w:tcPr>
          <w:p w:rsidR="000C670C" w:rsidRPr="00D80AC6" w:rsidRDefault="000C670C" w:rsidP="000C670C">
            <w:pPr>
              <w:jc w:val="both"/>
              <w:rPr>
                <w:lang w:val="uk-UA" w:eastAsia="en-US"/>
              </w:rPr>
            </w:pPr>
            <w:r w:rsidRPr="00D80AC6">
              <w:rPr>
                <w:lang w:val="uk-UA" w:eastAsia="en-US"/>
              </w:rPr>
              <w:t>В т.ч. отриманий прибуток після оподаткування за рік</w:t>
            </w:r>
          </w:p>
        </w:tc>
        <w:tc>
          <w:tcPr>
            <w:tcW w:w="1701" w:type="dxa"/>
          </w:tcPr>
          <w:p w:rsidR="000C670C" w:rsidRPr="00D80AC6" w:rsidRDefault="000C670C" w:rsidP="000C670C">
            <w:pPr>
              <w:jc w:val="center"/>
              <w:rPr>
                <w:lang w:val="uk-UA" w:eastAsia="en-US"/>
              </w:rPr>
            </w:pPr>
            <w:r>
              <w:rPr>
                <w:lang w:val="uk-UA" w:eastAsia="en-US"/>
              </w:rPr>
              <w:t>284</w:t>
            </w:r>
          </w:p>
        </w:tc>
        <w:tc>
          <w:tcPr>
            <w:tcW w:w="1498" w:type="dxa"/>
          </w:tcPr>
          <w:p w:rsidR="000C670C" w:rsidRPr="00D80AC6" w:rsidRDefault="00AA6080" w:rsidP="00AA6080">
            <w:pPr>
              <w:jc w:val="center"/>
              <w:rPr>
                <w:lang w:val="uk-UA" w:eastAsia="en-US"/>
              </w:rPr>
            </w:pPr>
            <w:r>
              <w:rPr>
                <w:lang w:val="uk-UA" w:eastAsia="en-US"/>
              </w:rPr>
              <w:t>93</w:t>
            </w:r>
          </w:p>
        </w:tc>
      </w:tr>
      <w:tr w:rsidR="000C670C" w:rsidRPr="00682EFB" w:rsidTr="000C670C">
        <w:trPr>
          <w:trHeight w:val="352"/>
          <w:jc w:val="center"/>
        </w:trPr>
        <w:tc>
          <w:tcPr>
            <w:tcW w:w="6320" w:type="dxa"/>
          </w:tcPr>
          <w:p w:rsidR="000C670C" w:rsidRPr="00D80AC6" w:rsidRDefault="000C670C" w:rsidP="000C670C">
            <w:pPr>
              <w:jc w:val="both"/>
              <w:rPr>
                <w:lang w:val="uk-UA" w:eastAsia="en-US"/>
              </w:rPr>
            </w:pPr>
            <w:r w:rsidRPr="00D80AC6">
              <w:rPr>
                <w:lang w:val="uk-UA" w:eastAsia="en-US"/>
              </w:rPr>
              <w:t>Неоплачений капітал</w:t>
            </w:r>
          </w:p>
        </w:tc>
        <w:tc>
          <w:tcPr>
            <w:tcW w:w="1701" w:type="dxa"/>
          </w:tcPr>
          <w:p w:rsidR="000C670C" w:rsidRPr="00D80AC6" w:rsidRDefault="000C670C" w:rsidP="000C670C">
            <w:pPr>
              <w:jc w:val="center"/>
              <w:rPr>
                <w:lang w:val="uk-UA" w:eastAsia="en-US"/>
              </w:rPr>
            </w:pPr>
            <w:r>
              <w:rPr>
                <w:lang w:val="uk-UA" w:eastAsia="en-US"/>
              </w:rPr>
              <w:t>(412)</w:t>
            </w:r>
          </w:p>
        </w:tc>
        <w:tc>
          <w:tcPr>
            <w:tcW w:w="1498" w:type="dxa"/>
          </w:tcPr>
          <w:p w:rsidR="000C670C" w:rsidRPr="00D80AC6" w:rsidRDefault="000C670C" w:rsidP="000C670C">
            <w:pPr>
              <w:jc w:val="center"/>
              <w:rPr>
                <w:lang w:val="uk-UA" w:eastAsia="en-US"/>
              </w:rPr>
            </w:pPr>
            <w:r>
              <w:rPr>
                <w:lang w:val="uk-UA" w:eastAsia="en-US"/>
              </w:rPr>
              <w:t>(412)</w:t>
            </w:r>
          </w:p>
        </w:tc>
      </w:tr>
      <w:tr w:rsidR="000C670C" w:rsidRPr="00CE1799" w:rsidTr="000C670C">
        <w:trPr>
          <w:trHeight w:val="352"/>
          <w:jc w:val="center"/>
        </w:trPr>
        <w:tc>
          <w:tcPr>
            <w:tcW w:w="6320" w:type="dxa"/>
          </w:tcPr>
          <w:p w:rsidR="000C670C" w:rsidRPr="00CE1799" w:rsidRDefault="000C670C" w:rsidP="000C670C">
            <w:pPr>
              <w:jc w:val="both"/>
              <w:rPr>
                <w:b/>
                <w:bCs/>
                <w:iCs/>
                <w:lang w:val="uk-UA" w:eastAsia="en-US"/>
              </w:rPr>
            </w:pPr>
            <w:r w:rsidRPr="00CE1799">
              <w:rPr>
                <w:b/>
                <w:bCs/>
                <w:iCs/>
                <w:lang w:val="uk-UA" w:eastAsia="en-US"/>
              </w:rPr>
              <w:t>Всього власний капітал</w:t>
            </w:r>
          </w:p>
        </w:tc>
        <w:tc>
          <w:tcPr>
            <w:tcW w:w="1701" w:type="dxa"/>
          </w:tcPr>
          <w:p w:rsidR="000C670C" w:rsidRPr="00CE1799" w:rsidRDefault="000C670C" w:rsidP="000C670C">
            <w:pPr>
              <w:jc w:val="center"/>
              <w:rPr>
                <w:b/>
                <w:lang w:val="uk-UA" w:eastAsia="en-US"/>
              </w:rPr>
            </w:pPr>
            <w:r>
              <w:rPr>
                <w:b/>
                <w:lang w:val="uk-UA" w:eastAsia="en-US"/>
              </w:rPr>
              <w:t>1  707</w:t>
            </w:r>
          </w:p>
        </w:tc>
        <w:tc>
          <w:tcPr>
            <w:tcW w:w="1498" w:type="dxa"/>
          </w:tcPr>
          <w:p w:rsidR="000C670C" w:rsidRPr="00CE1799" w:rsidRDefault="000C670C" w:rsidP="00F8440D">
            <w:pPr>
              <w:jc w:val="center"/>
              <w:rPr>
                <w:b/>
                <w:lang w:val="uk-UA" w:eastAsia="en-US"/>
              </w:rPr>
            </w:pPr>
            <w:r>
              <w:rPr>
                <w:b/>
                <w:lang w:val="uk-UA" w:eastAsia="en-US"/>
              </w:rPr>
              <w:t xml:space="preserve">1  </w:t>
            </w:r>
            <w:r w:rsidR="00F8440D">
              <w:rPr>
                <w:b/>
                <w:lang w:val="uk-UA" w:eastAsia="en-US"/>
              </w:rPr>
              <w:t>801</w:t>
            </w:r>
          </w:p>
        </w:tc>
      </w:tr>
    </w:tbl>
    <w:p w:rsidR="00A820B0" w:rsidRPr="00E577B5" w:rsidRDefault="00A820B0" w:rsidP="00A820B0">
      <w:pPr>
        <w:spacing w:before="120" w:after="120"/>
        <w:jc w:val="both"/>
        <w:rPr>
          <w:b/>
          <w:smallCaps/>
          <w:lang w:val="uk-UA"/>
        </w:rPr>
      </w:pPr>
      <w:r w:rsidRPr="00E577B5">
        <w:rPr>
          <w:b/>
          <w:smallCaps/>
          <w:lang w:val="uk-UA"/>
        </w:rPr>
        <w:t>8. Характер та ступінь ризиків, що виникають у зв’язку з фінансовими інструментами</w:t>
      </w:r>
    </w:p>
    <w:p w:rsidR="00A820B0" w:rsidRPr="00E577B5" w:rsidRDefault="00A820B0" w:rsidP="00A820B0">
      <w:pPr>
        <w:spacing w:before="120" w:after="120"/>
        <w:jc w:val="both"/>
        <w:rPr>
          <w:lang w:val="uk-UA"/>
        </w:rPr>
      </w:pPr>
      <w:r w:rsidRPr="00E577B5">
        <w:rPr>
          <w:lang w:val="uk-UA"/>
        </w:rPr>
        <w:t xml:space="preserve">Основні фінансові інструменти Товариства включають процентні кредити та позики, грошові кошти та їх еквіваленти та інші оборотні фінансові активи. Товариство має різні інші фінансові інструменти, як, наприклад кредиторська і дебіторська заборгованість, які виникають безпосередньо в ході її операційної діяльності. </w:t>
      </w:r>
    </w:p>
    <w:p w:rsidR="00A820B0" w:rsidRPr="00E577B5" w:rsidRDefault="00A820B0" w:rsidP="00A820B0">
      <w:pPr>
        <w:spacing w:before="120" w:after="120"/>
        <w:jc w:val="both"/>
        <w:rPr>
          <w:lang w:val="uk-UA"/>
        </w:rPr>
      </w:pPr>
      <w:r w:rsidRPr="00E577B5">
        <w:rPr>
          <w:lang w:val="uk-UA"/>
        </w:rPr>
        <w:t>Політика Товариства не передбачає торгівлі фінансовими інструментами. Товариству властиві кредитний ризик, ризик ліквідності і ринковий ризик.</w:t>
      </w:r>
    </w:p>
    <w:p w:rsidR="00A820B0" w:rsidRPr="00E577B5" w:rsidRDefault="00A820B0" w:rsidP="00A820B0">
      <w:pPr>
        <w:spacing w:before="120" w:after="120"/>
        <w:jc w:val="both"/>
        <w:rPr>
          <w:lang w:val="uk-UA"/>
        </w:rPr>
      </w:pPr>
      <w:r w:rsidRPr="00E577B5">
        <w:rPr>
          <w:lang w:val="uk-UA"/>
        </w:rPr>
        <w:t xml:space="preserve">Загальна програма управління ризиками сконцентрована на непередбачуваності та неефективності фінансового ринку України, і спрямована на зменшення його потенційного негативного впливу на фінансовий стан Товариства. </w:t>
      </w:r>
    </w:p>
    <w:p w:rsidR="00A820B0" w:rsidRPr="00E577B5" w:rsidRDefault="00A820B0" w:rsidP="00A820B0">
      <w:pPr>
        <w:spacing w:before="120" w:after="120"/>
        <w:jc w:val="both"/>
        <w:rPr>
          <w:lang w:val="uk-UA"/>
        </w:rPr>
      </w:pPr>
      <w:r w:rsidRPr="00E577B5">
        <w:rPr>
          <w:lang w:val="uk-UA"/>
        </w:rPr>
        <w:t>Підходи до управління кожним із цих ризиків представлені нижче.</w:t>
      </w:r>
    </w:p>
    <w:p w:rsidR="00A820B0" w:rsidRPr="00E577B5" w:rsidRDefault="00A820B0" w:rsidP="00A820B0">
      <w:pPr>
        <w:spacing w:before="120" w:after="120"/>
        <w:jc w:val="both"/>
        <w:rPr>
          <w:i/>
          <w:iCs/>
          <w:lang w:val="uk-UA"/>
        </w:rPr>
      </w:pPr>
      <w:r w:rsidRPr="00E577B5">
        <w:rPr>
          <w:i/>
          <w:iCs/>
          <w:lang w:val="uk-UA"/>
        </w:rPr>
        <w:t>Ринковий ризик</w:t>
      </w:r>
    </w:p>
    <w:p w:rsidR="00A820B0" w:rsidRPr="00E577B5" w:rsidRDefault="00A820B0" w:rsidP="00A820B0">
      <w:pPr>
        <w:shd w:val="clear" w:color="auto" w:fill="FFFFFF"/>
        <w:spacing w:before="120" w:after="120"/>
        <w:jc w:val="both"/>
        <w:rPr>
          <w:lang w:val="uk-UA"/>
        </w:rPr>
      </w:pPr>
      <w:r w:rsidRPr="00E577B5">
        <w:rPr>
          <w:lang w:val="uk-UA"/>
        </w:rPr>
        <w:t xml:space="preserve">Ринковий ризик – це ризик того, що справедлива вартість майбутніх грошових потоків за фінансовим інструментом коливатиметься внаслідок змін ринкових цін. Ринкові ціни містять у собі три типи ризику: ризик зміни процентної ставки, валютний ризик та інші цінові ризики. Основними для Товариства є ризик зміни процентної ставки, та цінові ризики. Також одним з найсуттєвіших ризиків є </w:t>
      </w:r>
      <w:r w:rsidRPr="00E577B5">
        <w:rPr>
          <w:rStyle w:val="af9"/>
          <w:b w:val="0"/>
          <w:color w:val="000000"/>
          <w:bdr w:val="none" w:sz="0" w:space="0" w:color="auto" w:frame="1"/>
          <w:lang w:val="uk-UA"/>
        </w:rPr>
        <w:t>коливання цін на дорогоцінні метали та зменшення відсоткової ставки по кредитам в зв’язку з підвищенням рівня конкуренції.</w:t>
      </w:r>
    </w:p>
    <w:p w:rsidR="00A820B0" w:rsidRPr="00E577B5" w:rsidRDefault="00A820B0" w:rsidP="00A820B0">
      <w:pPr>
        <w:spacing w:before="120" w:after="120"/>
        <w:jc w:val="both"/>
        <w:rPr>
          <w:i/>
          <w:iCs/>
          <w:lang w:val="uk-UA"/>
        </w:rPr>
      </w:pPr>
      <w:r w:rsidRPr="00E577B5">
        <w:rPr>
          <w:i/>
          <w:iCs/>
          <w:lang w:val="uk-UA"/>
        </w:rPr>
        <w:t>Ризик ліквідності</w:t>
      </w:r>
    </w:p>
    <w:p w:rsidR="00A820B0" w:rsidRPr="00E577B5" w:rsidRDefault="00A820B0" w:rsidP="00A820B0">
      <w:pPr>
        <w:spacing w:before="120" w:after="120"/>
        <w:jc w:val="both"/>
        <w:rPr>
          <w:lang w:val="uk-UA"/>
        </w:rPr>
      </w:pPr>
      <w:r w:rsidRPr="00E577B5">
        <w:rPr>
          <w:lang w:val="uk-UA"/>
        </w:rPr>
        <w:t>Товариство здійснює аналіз строків погашення активів і зобов’язань і планує свою ліквідність залежно від очікуваних строків погашення відповідних фінансових інструментів. Потреби Товариства в коротко - і довгостроковій ліквідності здебільшого забезпечуються за рахунок грошових коштів від операційної діяльності.</w:t>
      </w:r>
    </w:p>
    <w:p w:rsidR="00A820B0" w:rsidRPr="00E577B5" w:rsidRDefault="00A820B0" w:rsidP="00A820B0">
      <w:pPr>
        <w:spacing w:before="120" w:after="120"/>
        <w:jc w:val="both"/>
        <w:rPr>
          <w:i/>
          <w:iCs/>
          <w:lang w:val="uk-UA"/>
        </w:rPr>
      </w:pPr>
      <w:r w:rsidRPr="00E577B5">
        <w:rPr>
          <w:i/>
          <w:iCs/>
          <w:lang w:val="uk-UA"/>
        </w:rPr>
        <w:t>Кредитний ризик</w:t>
      </w:r>
    </w:p>
    <w:p w:rsidR="00A820B0" w:rsidRPr="00E577B5" w:rsidRDefault="00A820B0" w:rsidP="00A820B0">
      <w:pPr>
        <w:spacing w:before="120" w:after="120"/>
        <w:jc w:val="both"/>
        <w:rPr>
          <w:lang w:val="uk-UA"/>
        </w:rPr>
      </w:pPr>
      <w:r w:rsidRPr="00E577B5">
        <w:rPr>
          <w:lang w:val="uk-UA"/>
        </w:rPr>
        <w:t>Кредитний ризик – це ризик того, що контрагент не виконає своїх зобов’язань за фінансовими інструментами або за контрактом, що може призвести до фінансових збитків. Товариству властивий кредитний ризик від операційної діяльності (насамперед, за дебіторською заборгованістю) і від фінансової діяльності, включаючи депозити в банках і фінансових установах, операції з іноземною валютою та інші фінансові інструменти.</w:t>
      </w:r>
    </w:p>
    <w:p w:rsidR="00A820B0" w:rsidRPr="00E577B5" w:rsidRDefault="00A820B0" w:rsidP="00A820B0">
      <w:pPr>
        <w:spacing w:before="120" w:after="120"/>
        <w:jc w:val="both"/>
        <w:rPr>
          <w:lang w:val="uk-UA"/>
        </w:rPr>
      </w:pPr>
      <w:r w:rsidRPr="00E577B5">
        <w:rPr>
          <w:lang w:val="uk-UA"/>
        </w:rPr>
        <w:t>Фінансові інструменти, які потенційно можуть призвести до істотної концентрації кредитного ризику Товариства, складаються в основному із коштів у банку, а також дебіторської заборгованості.</w:t>
      </w:r>
    </w:p>
    <w:p w:rsidR="00A820B0" w:rsidRPr="00E577B5" w:rsidRDefault="00A820B0" w:rsidP="00A820B0">
      <w:pPr>
        <w:spacing w:before="120" w:after="120"/>
        <w:rPr>
          <w:b/>
          <w:smallCaps/>
          <w:lang w:val="uk-UA"/>
        </w:rPr>
      </w:pPr>
      <w:r w:rsidRPr="00E577B5">
        <w:rPr>
          <w:b/>
          <w:smallCaps/>
          <w:lang w:val="uk-UA"/>
        </w:rPr>
        <w:t xml:space="preserve">9. Пов’язані сторони. </w:t>
      </w:r>
    </w:p>
    <w:p w:rsidR="00A820B0" w:rsidRPr="00E577B5" w:rsidRDefault="00A820B0" w:rsidP="00A820B0">
      <w:pPr>
        <w:spacing w:before="120" w:after="120"/>
        <w:ind w:firstLine="568"/>
        <w:jc w:val="both"/>
        <w:rPr>
          <w:lang w:val="uk-UA"/>
        </w:rPr>
      </w:pPr>
      <w:r w:rsidRPr="00E577B5">
        <w:rPr>
          <w:lang w:val="uk-UA"/>
        </w:rPr>
        <w:t xml:space="preserve">Пов’язаними вважаються сторони, одна з яких контролює або має значний вплив на </w:t>
      </w:r>
      <w:r w:rsidRPr="00E577B5">
        <w:rPr>
          <w:lang w:val="uk-UA"/>
        </w:rPr>
        <w:lastRenderedPageBreak/>
        <w:t>операційні та фінансові рішення іншої сторони.  При вирішенні питання про те, чи є сторони пов’язаними, приймається до уваги сутність взаємовідносин сторін, а не лише їх юридична форма.</w:t>
      </w:r>
    </w:p>
    <w:p w:rsidR="00A820B0" w:rsidRPr="00E577B5" w:rsidRDefault="00A820B0" w:rsidP="00A820B0">
      <w:pPr>
        <w:pStyle w:val="a0"/>
        <w:widowControl w:val="0"/>
        <w:suppressAutoHyphens w:val="0"/>
        <w:spacing w:before="120" w:after="120"/>
        <w:ind w:firstLine="709"/>
        <w:rPr>
          <w:lang w:val="uk-UA" w:eastAsia="uk-UA"/>
        </w:rPr>
      </w:pPr>
      <w:r w:rsidRPr="00E577B5">
        <w:rPr>
          <w:lang w:val="uk-UA" w:eastAsia="uk-UA"/>
        </w:rPr>
        <w:t xml:space="preserve">Пов’язаними  вважають сторони, одна з яких має можливість контролювати іншу або здійснювати суттєвий вплив на прийняття фінансових та операційних рішень іншою стороною, як це визначено в МСБО 24 «Розкриття інформації щодо зв’язаних сторін». Рішення про те які сторони являються зв’язаними приймають не тільки на основі їх юридичної форми, але і виходячи з характеру стосунків зв’язаними сторін. </w:t>
      </w:r>
    </w:p>
    <w:p w:rsidR="00A820B0" w:rsidRPr="00E577B5" w:rsidRDefault="00A820B0" w:rsidP="00215D5D">
      <w:pPr>
        <w:pStyle w:val="a0"/>
        <w:widowControl w:val="0"/>
        <w:suppressAutoHyphens w:val="0"/>
        <w:ind w:firstLine="709"/>
        <w:rPr>
          <w:lang w:val="uk-UA"/>
        </w:rPr>
      </w:pPr>
      <w:r w:rsidRPr="00E577B5">
        <w:rPr>
          <w:lang w:val="uk-UA"/>
        </w:rPr>
        <w:t xml:space="preserve">Товариство  приймає політику взаємовідносин із пов’язаними особами без спеціального ціноутворення. Операції із пов’язаними особами відображуються виключно за принципом  справедливої вартості на підставі договорів з врахуванням інтересів обох сторін. </w:t>
      </w:r>
    </w:p>
    <w:p w:rsidR="00A820B0" w:rsidRPr="00E577B5" w:rsidRDefault="00A820B0" w:rsidP="00215D5D">
      <w:pPr>
        <w:suppressAutoHyphens w:val="0"/>
        <w:jc w:val="both"/>
        <w:rPr>
          <w:iCs/>
          <w:lang w:val="uk-UA"/>
        </w:rPr>
      </w:pPr>
      <w:r w:rsidRPr="00E577B5">
        <w:rPr>
          <w:b/>
          <w:iCs/>
          <w:sz w:val="28"/>
          <w:szCs w:val="28"/>
          <w:lang w:val="uk-UA"/>
        </w:rPr>
        <w:t xml:space="preserve">    </w:t>
      </w:r>
      <w:r w:rsidRPr="00E577B5">
        <w:rPr>
          <w:iCs/>
          <w:lang w:val="uk-UA"/>
        </w:rPr>
        <w:t>Пов</w:t>
      </w:r>
      <w:r w:rsidRPr="00E577B5">
        <w:rPr>
          <w:iCs/>
        </w:rPr>
        <w:t>’</w:t>
      </w:r>
      <w:r w:rsidRPr="00E577B5">
        <w:rPr>
          <w:iCs/>
          <w:lang w:val="uk-UA"/>
        </w:rPr>
        <w:t>язаними сторонами Товариства є</w:t>
      </w:r>
    </w:p>
    <w:p w:rsidR="00A820B0" w:rsidRPr="00E577B5" w:rsidRDefault="00A820B0" w:rsidP="00215D5D">
      <w:pPr>
        <w:numPr>
          <w:ilvl w:val="0"/>
          <w:numId w:val="26"/>
        </w:numPr>
        <w:suppressAutoHyphens w:val="0"/>
        <w:jc w:val="both"/>
        <w:rPr>
          <w:lang w:val="uk-UA"/>
        </w:rPr>
      </w:pPr>
      <w:r w:rsidRPr="00E577B5">
        <w:rPr>
          <w:lang w:val="uk-UA"/>
        </w:rPr>
        <w:t>Директор</w:t>
      </w:r>
    </w:p>
    <w:p w:rsidR="00A820B0" w:rsidRPr="00E577B5" w:rsidRDefault="00A820B0" w:rsidP="00215D5D">
      <w:pPr>
        <w:numPr>
          <w:ilvl w:val="0"/>
          <w:numId w:val="26"/>
        </w:numPr>
        <w:suppressAutoHyphens w:val="0"/>
        <w:jc w:val="both"/>
        <w:rPr>
          <w:lang w:val="uk-UA"/>
        </w:rPr>
      </w:pPr>
      <w:r w:rsidRPr="00E577B5">
        <w:rPr>
          <w:lang w:val="uk-UA"/>
        </w:rPr>
        <w:t>Учасники</w:t>
      </w:r>
    </w:p>
    <w:p w:rsidR="00AA6080" w:rsidRPr="004D335A" w:rsidRDefault="00AA6080" w:rsidP="00C345F8">
      <w:pPr>
        <w:suppressAutoHyphens w:val="0"/>
        <w:spacing w:before="120" w:after="120"/>
        <w:jc w:val="both"/>
        <w:rPr>
          <w:lang w:val="uk-UA"/>
        </w:rPr>
      </w:pPr>
      <w:r w:rsidRPr="00C345F8">
        <w:rPr>
          <w:lang w:val="uk-UA"/>
        </w:rPr>
        <w:t xml:space="preserve">У 2020 році Товариство залучало кошти у вигляді безвідсоткової поворотної фінансової допомоги від учасника Товариства у сумі 2 673 тис. грн. </w:t>
      </w:r>
      <w:r w:rsidRPr="00C345F8">
        <w:rPr>
          <w:iCs/>
          <w:lang w:val="uk-UA"/>
        </w:rPr>
        <w:t xml:space="preserve">Повернуто </w:t>
      </w:r>
      <w:r w:rsidRPr="00C345F8">
        <w:rPr>
          <w:iCs/>
          <w:lang w:val="uk-UA"/>
        </w:rPr>
        <w:t>у</w:t>
      </w:r>
      <w:r w:rsidRPr="00C345F8">
        <w:rPr>
          <w:iCs/>
          <w:lang w:val="uk-UA"/>
        </w:rPr>
        <w:t xml:space="preserve">часнику </w:t>
      </w:r>
      <w:r w:rsidRPr="00C345F8">
        <w:rPr>
          <w:iCs/>
          <w:lang w:val="uk-UA"/>
        </w:rPr>
        <w:t xml:space="preserve">Товариства </w:t>
      </w:r>
      <w:r w:rsidRPr="00C345F8">
        <w:rPr>
          <w:iCs/>
          <w:lang w:val="uk-UA"/>
        </w:rPr>
        <w:t>поворотної безвідсоткової фінансової допомо</w:t>
      </w:r>
      <w:r w:rsidRPr="00C345F8">
        <w:rPr>
          <w:iCs/>
          <w:lang w:val="uk-UA"/>
        </w:rPr>
        <w:t>г</w:t>
      </w:r>
      <w:r w:rsidRPr="00C345F8">
        <w:rPr>
          <w:iCs/>
          <w:lang w:val="uk-UA"/>
        </w:rPr>
        <w:t xml:space="preserve">и </w:t>
      </w:r>
      <w:r w:rsidRPr="00C345F8">
        <w:rPr>
          <w:iCs/>
          <w:lang w:val="uk-UA"/>
        </w:rPr>
        <w:t xml:space="preserve">у 2020 році </w:t>
      </w:r>
      <w:r w:rsidRPr="00C345F8">
        <w:rPr>
          <w:iCs/>
          <w:lang w:val="uk-UA"/>
        </w:rPr>
        <w:t xml:space="preserve">1 </w:t>
      </w:r>
      <w:r w:rsidR="00C345F8" w:rsidRPr="00C345F8">
        <w:rPr>
          <w:iCs/>
          <w:lang w:val="uk-UA"/>
        </w:rPr>
        <w:t>157</w:t>
      </w:r>
      <w:r w:rsidRPr="00C345F8">
        <w:rPr>
          <w:iCs/>
          <w:lang w:val="uk-UA"/>
        </w:rPr>
        <w:t xml:space="preserve"> тис. грн. </w:t>
      </w:r>
      <w:r w:rsidRPr="00C345F8">
        <w:rPr>
          <w:lang w:val="uk-UA"/>
        </w:rPr>
        <w:t>Станом на 31.12.2020 року заборгованість Товариства за отриманою поворотною безвідсотковою фінансовою допомогою від учасника Товариства складає 6 385 тис. грн. (заборгованість відображено в р. 1690 «Інші поточні зобов’язання» звіту про фінансовий стан).</w:t>
      </w:r>
      <w:r w:rsidRPr="004D335A">
        <w:rPr>
          <w:lang w:val="uk-UA"/>
        </w:rPr>
        <w:t xml:space="preserve"> </w:t>
      </w:r>
    </w:p>
    <w:p w:rsidR="00A820B0" w:rsidRPr="00E577B5" w:rsidRDefault="00A820B0" w:rsidP="00A820B0">
      <w:pPr>
        <w:widowControl/>
        <w:numPr>
          <w:ilvl w:val="0"/>
          <w:numId w:val="32"/>
        </w:numPr>
        <w:suppressAutoHyphens w:val="0"/>
        <w:spacing w:before="120" w:after="120"/>
        <w:ind w:left="0" w:firstLine="0"/>
        <w:rPr>
          <w:b/>
          <w:smallCaps/>
          <w:lang w:val="uk-UA"/>
        </w:rPr>
      </w:pPr>
      <w:r w:rsidRPr="00E577B5">
        <w:rPr>
          <w:b/>
          <w:smallCaps/>
          <w:lang w:val="uk-UA"/>
        </w:rPr>
        <w:t xml:space="preserve">Судові позови. </w:t>
      </w:r>
    </w:p>
    <w:p w:rsidR="00A820B0" w:rsidRPr="00385BEC" w:rsidRDefault="00385BEC" w:rsidP="00A820B0">
      <w:pPr>
        <w:tabs>
          <w:tab w:val="left" w:pos="954"/>
        </w:tabs>
        <w:spacing w:before="120" w:after="120"/>
        <w:ind w:firstLine="567"/>
        <w:jc w:val="both"/>
        <w:rPr>
          <w:lang w:val="uk-UA"/>
        </w:rPr>
      </w:pPr>
      <w:r w:rsidRPr="00385BEC">
        <w:rPr>
          <w:lang w:val="uk-UA"/>
        </w:rPr>
        <w:t xml:space="preserve">Товариство виступає відповідачем у судовому позові </w:t>
      </w:r>
      <w:r>
        <w:rPr>
          <w:lang w:val="uk-UA"/>
        </w:rPr>
        <w:t>з</w:t>
      </w:r>
      <w:r w:rsidRPr="00385BEC">
        <w:rPr>
          <w:lang w:val="uk-UA"/>
        </w:rPr>
        <w:t xml:space="preserve"> 21.12.2020 р.</w:t>
      </w:r>
      <w:r>
        <w:rPr>
          <w:lang w:val="uk-UA"/>
        </w:rPr>
        <w:t xml:space="preserve">, </w:t>
      </w:r>
      <w:r w:rsidRPr="00385BEC">
        <w:rPr>
          <w:lang w:val="uk-UA"/>
        </w:rPr>
        <w:t>№160/17064/20</w:t>
      </w:r>
      <w:r>
        <w:rPr>
          <w:lang w:val="uk-UA"/>
        </w:rPr>
        <w:t xml:space="preserve"> від Фонду соціального захисту інвалідів. Предмет позову </w:t>
      </w:r>
      <w:r>
        <w:rPr>
          <w:rFonts w:ascii="Cambria" w:hAnsi="Cambria"/>
          <w:lang w:val="uk-UA"/>
        </w:rPr>
        <w:t>про стягнення адміністративно-господарських санкцій у розмірі 49 252,38 грн.</w:t>
      </w:r>
    </w:p>
    <w:p w:rsidR="00A820B0" w:rsidRPr="00E577B5" w:rsidRDefault="00A820B0" w:rsidP="00A820B0">
      <w:pPr>
        <w:spacing w:before="120" w:after="120"/>
        <w:rPr>
          <w:b/>
          <w:smallCaps/>
          <w:lang w:val="uk-UA"/>
        </w:rPr>
      </w:pPr>
      <w:r w:rsidRPr="00E577B5">
        <w:rPr>
          <w:b/>
          <w:smallCaps/>
          <w:lang w:val="uk-UA"/>
        </w:rPr>
        <w:t xml:space="preserve">11. Події після дати балансу </w:t>
      </w:r>
    </w:p>
    <w:p w:rsidR="00A820B0" w:rsidRPr="00E577B5" w:rsidRDefault="00A820B0" w:rsidP="00E577B5">
      <w:pPr>
        <w:jc w:val="both"/>
        <w:rPr>
          <w:lang w:val="uk-UA"/>
        </w:rPr>
      </w:pPr>
      <w:r w:rsidRPr="00E577B5">
        <w:rPr>
          <w:lang w:val="uk-UA"/>
        </w:rPr>
        <w:t xml:space="preserve">В обліку та розкритті подій після дати балансу Товариство керується МСБО 10 «Події після звітного періоду». Після дати балансу не відбувалося наступних подій: </w:t>
      </w:r>
    </w:p>
    <w:p w:rsidR="00A820B0" w:rsidRPr="00E577B5" w:rsidRDefault="00A820B0" w:rsidP="00E577B5">
      <w:pPr>
        <w:jc w:val="both"/>
        <w:rPr>
          <w:lang w:val="uk-UA"/>
        </w:rPr>
      </w:pPr>
      <w:r w:rsidRPr="00E577B5">
        <w:rPr>
          <w:lang w:val="uk-UA"/>
        </w:rPr>
        <w:sym w:font="Symbol" w:char="F0B7"/>
      </w:r>
      <w:r w:rsidRPr="00E577B5">
        <w:rPr>
          <w:lang w:val="uk-UA"/>
        </w:rPr>
        <w:t xml:space="preserve"> об’єднання бізнесу не було; </w:t>
      </w:r>
    </w:p>
    <w:p w:rsidR="00A820B0" w:rsidRPr="00E577B5" w:rsidRDefault="00A820B0" w:rsidP="00E577B5">
      <w:pPr>
        <w:jc w:val="both"/>
        <w:rPr>
          <w:lang w:val="uk-UA"/>
        </w:rPr>
      </w:pPr>
      <w:r w:rsidRPr="00E577B5">
        <w:rPr>
          <w:lang w:val="uk-UA"/>
        </w:rPr>
        <w:sym w:font="Symbol" w:char="F0B7"/>
      </w:r>
      <w:r w:rsidRPr="00E577B5">
        <w:rPr>
          <w:lang w:val="uk-UA"/>
        </w:rPr>
        <w:t xml:space="preserve"> припинення діяльності не було; </w:t>
      </w:r>
    </w:p>
    <w:p w:rsidR="00A820B0" w:rsidRPr="00E577B5" w:rsidRDefault="00A820B0" w:rsidP="00E577B5">
      <w:pPr>
        <w:jc w:val="both"/>
        <w:rPr>
          <w:lang w:val="uk-UA"/>
        </w:rPr>
      </w:pPr>
      <w:r w:rsidRPr="00E577B5">
        <w:rPr>
          <w:lang w:val="uk-UA"/>
        </w:rPr>
        <w:sym w:font="Symbol" w:char="F0B7"/>
      </w:r>
      <w:r w:rsidRPr="00E577B5">
        <w:rPr>
          <w:lang w:val="uk-UA"/>
        </w:rPr>
        <w:t xml:space="preserve"> істотного придбання активів не було;</w:t>
      </w:r>
    </w:p>
    <w:p w:rsidR="00A820B0" w:rsidRPr="00E577B5" w:rsidRDefault="00A820B0" w:rsidP="00E577B5">
      <w:pPr>
        <w:jc w:val="both"/>
        <w:rPr>
          <w:lang w:val="uk-UA"/>
        </w:rPr>
      </w:pPr>
      <w:r w:rsidRPr="00E577B5">
        <w:rPr>
          <w:lang w:val="uk-UA"/>
        </w:rPr>
        <w:t xml:space="preserve"> </w:t>
      </w:r>
      <w:r w:rsidRPr="00E577B5">
        <w:rPr>
          <w:lang w:val="uk-UA"/>
        </w:rPr>
        <w:sym w:font="Symbol" w:char="F0B7"/>
      </w:r>
      <w:r w:rsidRPr="00E577B5">
        <w:rPr>
          <w:lang w:val="uk-UA"/>
        </w:rPr>
        <w:t xml:space="preserve"> реструктуризації не було; </w:t>
      </w:r>
    </w:p>
    <w:p w:rsidR="00A820B0" w:rsidRPr="00E577B5" w:rsidRDefault="00A820B0" w:rsidP="00E577B5">
      <w:pPr>
        <w:jc w:val="both"/>
        <w:rPr>
          <w:lang w:val="uk-UA"/>
        </w:rPr>
      </w:pPr>
      <w:r w:rsidRPr="00E577B5">
        <w:rPr>
          <w:lang w:val="uk-UA"/>
        </w:rPr>
        <w:sym w:font="Symbol" w:char="F0B7"/>
      </w:r>
      <w:r w:rsidRPr="00E577B5">
        <w:rPr>
          <w:lang w:val="uk-UA"/>
        </w:rPr>
        <w:t xml:space="preserve"> значних</w:t>
      </w:r>
      <w:r w:rsidR="00E577B5">
        <w:rPr>
          <w:lang w:val="uk-UA"/>
        </w:rPr>
        <w:t xml:space="preserve"> операцій з учасниками не було.</w:t>
      </w:r>
    </w:p>
    <w:p w:rsidR="00A820B0" w:rsidRPr="00E577B5" w:rsidRDefault="00A820B0" w:rsidP="00E577B5">
      <w:pPr>
        <w:jc w:val="both"/>
        <w:rPr>
          <w:lang w:val="uk-UA"/>
        </w:rPr>
      </w:pPr>
      <w:r w:rsidRPr="00E577B5">
        <w:rPr>
          <w:lang w:val="uk-UA"/>
        </w:rPr>
        <w:sym w:font="Symbol" w:char="F0B7"/>
      </w:r>
      <w:r w:rsidRPr="00E577B5">
        <w:rPr>
          <w:lang w:val="uk-UA"/>
        </w:rPr>
        <w:t xml:space="preserve"> великі судові процеси Товариством не розпочиналися;</w:t>
      </w:r>
    </w:p>
    <w:p w:rsidR="00A820B0" w:rsidRPr="00E577B5" w:rsidRDefault="00A820B0" w:rsidP="00E577B5">
      <w:pPr>
        <w:jc w:val="both"/>
        <w:rPr>
          <w:lang w:val="uk-UA"/>
        </w:rPr>
      </w:pPr>
      <w:r w:rsidRPr="00E577B5">
        <w:rPr>
          <w:lang w:val="uk-UA"/>
        </w:rPr>
        <w:t xml:space="preserve"> </w:t>
      </w:r>
      <w:r w:rsidRPr="00E577B5">
        <w:rPr>
          <w:lang w:val="uk-UA"/>
        </w:rPr>
        <w:sym w:font="Symbol" w:char="F0B7"/>
      </w:r>
      <w:r w:rsidRPr="00E577B5">
        <w:rPr>
          <w:lang w:val="uk-UA"/>
        </w:rPr>
        <w:t xml:space="preserve"> прийняття значних або непередбачених зобов’язань не було.</w:t>
      </w:r>
    </w:p>
    <w:p w:rsidR="00A820B0" w:rsidRPr="00E577B5" w:rsidRDefault="00496C3D" w:rsidP="00E577B5">
      <w:pPr>
        <w:rPr>
          <w:color w:val="000000"/>
        </w:rPr>
      </w:pPr>
      <w:r>
        <w:rPr>
          <w:color w:val="000000"/>
        </w:rPr>
        <w:t>Дата затвердження звіту 01.03.2021</w:t>
      </w:r>
      <w:r w:rsidR="00A820B0" w:rsidRPr="00E577B5">
        <w:rPr>
          <w:color w:val="000000"/>
        </w:rPr>
        <w:t xml:space="preserve"> року.</w:t>
      </w:r>
    </w:p>
    <w:p w:rsidR="00A820B0" w:rsidRPr="00E577B5" w:rsidRDefault="00A820B0" w:rsidP="00E577B5">
      <w:pPr>
        <w:jc w:val="both"/>
        <w:rPr>
          <w:lang w:val="uk-UA"/>
        </w:rPr>
      </w:pPr>
    </w:p>
    <w:p w:rsidR="00A820B0" w:rsidRPr="00E577B5" w:rsidRDefault="00A820B0" w:rsidP="00AF519E">
      <w:pPr>
        <w:pStyle w:val="a0"/>
        <w:widowControl w:val="0"/>
        <w:suppressAutoHyphens w:val="0"/>
        <w:spacing w:before="120" w:after="120"/>
        <w:ind w:firstLine="0"/>
        <w:rPr>
          <w:lang w:val="uk-UA"/>
        </w:rPr>
      </w:pPr>
    </w:p>
    <w:p w:rsidR="00420155" w:rsidRPr="00E577B5" w:rsidRDefault="00F72444" w:rsidP="00AF519E">
      <w:pPr>
        <w:suppressAutoHyphens w:val="0"/>
        <w:spacing w:before="120" w:after="120"/>
        <w:ind w:firstLine="709"/>
        <w:jc w:val="both"/>
        <w:rPr>
          <w:lang w:val="uk-UA"/>
        </w:rPr>
      </w:pPr>
      <w:r w:rsidRPr="00E577B5">
        <w:rPr>
          <w:lang w:val="uk-UA"/>
        </w:rPr>
        <w:t>Д</w:t>
      </w:r>
      <w:r w:rsidR="00420155" w:rsidRPr="00E577B5">
        <w:rPr>
          <w:lang w:val="uk-UA"/>
        </w:rPr>
        <w:t>иректор</w:t>
      </w:r>
      <w:r w:rsidRPr="00E577B5">
        <w:rPr>
          <w:lang w:val="uk-UA"/>
        </w:rPr>
        <w:t xml:space="preserve">                            </w:t>
      </w:r>
      <w:r w:rsidR="00420155" w:rsidRPr="00E577B5">
        <w:rPr>
          <w:lang w:val="uk-UA"/>
        </w:rPr>
        <w:t>____________</w:t>
      </w:r>
      <w:r w:rsidR="00963F58" w:rsidRPr="00E577B5">
        <w:rPr>
          <w:lang w:val="uk-UA"/>
        </w:rPr>
        <w:t xml:space="preserve"> </w:t>
      </w:r>
      <w:r w:rsidRPr="00E577B5">
        <w:rPr>
          <w:lang w:val="uk-UA"/>
        </w:rPr>
        <w:t xml:space="preserve"> </w:t>
      </w:r>
      <w:r w:rsidR="00420155" w:rsidRPr="00E577B5">
        <w:rPr>
          <w:lang w:val="uk-UA"/>
        </w:rPr>
        <w:t xml:space="preserve"> </w:t>
      </w:r>
      <w:r w:rsidR="00C45331" w:rsidRPr="00E577B5">
        <w:rPr>
          <w:lang w:val="uk-UA"/>
        </w:rPr>
        <w:t>Добродькін О.М.</w:t>
      </w:r>
    </w:p>
    <w:p w:rsidR="00420155" w:rsidRPr="00E577B5" w:rsidRDefault="00420155" w:rsidP="00AF519E">
      <w:pPr>
        <w:suppressAutoHyphens w:val="0"/>
        <w:spacing w:before="120" w:after="120"/>
        <w:ind w:firstLine="709"/>
        <w:jc w:val="both"/>
        <w:rPr>
          <w:lang w:val="uk-UA"/>
        </w:rPr>
      </w:pPr>
      <w:r w:rsidRPr="00E577B5">
        <w:rPr>
          <w:lang w:val="uk-UA"/>
        </w:rPr>
        <w:tab/>
      </w:r>
    </w:p>
    <w:p w:rsidR="00420155" w:rsidRPr="00E35C85" w:rsidRDefault="007B7184" w:rsidP="00AF519E">
      <w:pPr>
        <w:suppressAutoHyphens w:val="0"/>
        <w:spacing w:before="120" w:after="120"/>
        <w:ind w:firstLine="709"/>
        <w:jc w:val="both"/>
        <w:rPr>
          <w:lang w:val="uk-UA"/>
        </w:rPr>
      </w:pPr>
      <w:r w:rsidRPr="00E577B5">
        <w:rPr>
          <w:lang w:val="uk-UA"/>
        </w:rPr>
        <w:t>Б</w:t>
      </w:r>
      <w:r w:rsidR="00420155" w:rsidRPr="00E577B5">
        <w:rPr>
          <w:lang w:val="uk-UA"/>
        </w:rPr>
        <w:t>ухгалтер</w:t>
      </w:r>
      <w:r w:rsidR="00420155" w:rsidRPr="00E577B5">
        <w:rPr>
          <w:lang w:val="uk-UA"/>
        </w:rPr>
        <w:tab/>
      </w:r>
      <w:r w:rsidR="00C45331" w:rsidRPr="00E577B5">
        <w:rPr>
          <w:lang w:val="uk-UA"/>
        </w:rPr>
        <w:t xml:space="preserve">       </w:t>
      </w:r>
      <w:bookmarkStart w:id="2" w:name="_GoBack"/>
      <w:bookmarkEnd w:id="2"/>
      <w:r w:rsidRPr="00E577B5">
        <w:rPr>
          <w:lang w:val="uk-UA"/>
        </w:rPr>
        <w:tab/>
        <w:t xml:space="preserve">        </w:t>
      </w:r>
      <w:r w:rsidR="00C45331" w:rsidRPr="00E577B5">
        <w:rPr>
          <w:lang w:val="uk-UA"/>
        </w:rPr>
        <w:t xml:space="preserve"> </w:t>
      </w:r>
      <w:r w:rsidR="00420155" w:rsidRPr="00E577B5">
        <w:rPr>
          <w:lang w:val="uk-UA"/>
        </w:rPr>
        <w:t xml:space="preserve">____________  </w:t>
      </w:r>
      <w:r w:rsidR="00F72444" w:rsidRPr="00E577B5">
        <w:rPr>
          <w:lang w:val="uk-UA"/>
        </w:rPr>
        <w:t xml:space="preserve"> </w:t>
      </w:r>
      <w:r w:rsidRPr="00E577B5">
        <w:rPr>
          <w:lang w:val="uk-UA"/>
        </w:rPr>
        <w:t>Орєхов О.О.</w:t>
      </w:r>
      <w:r w:rsidR="00C45331" w:rsidRPr="00C45331">
        <w:rPr>
          <w:lang w:val="uk-UA"/>
        </w:rPr>
        <w:t xml:space="preserve">             </w:t>
      </w:r>
    </w:p>
    <w:sectPr w:rsidR="00420155" w:rsidRPr="00E35C85" w:rsidSect="00932899">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54" w:rsidRDefault="00844554" w:rsidP="001F4738">
      <w:r>
        <w:separator/>
      </w:r>
    </w:p>
  </w:endnote>
  <w:endnote w:type="continuationSeparator" w:id="0">
    <w:p w:rsidR="00844554" w:rsidRDefault="00844554" w:rsidP="001F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F3" w:rsidRDefault="005E41F3">
    <w:pPr>
      <w:pStyle w:val="af"/>
      <w:jc w:val="right"/>
    </w:pPr>
    <w:r>
      <w:fldChar w:fldCharType="begin"/>
    </w:r>
    <w:r>
      <w:instrText xml:space="preserve"> PAGE   \* MERGEFORMAT </w:instrText>
    </w:r>
    <w:r>
      <w:fldChar w:fldCharType="separate"/>
    </w:r>
    <w:r w:rsidR="00F66B25">
      <w:rPr>
        <w:noProof/>
      </w:rPr>
      <w:t>15</w:t>
    </w:r>
    <w:r>
      <w:rPr>
        <w:noProof/>
      </w:rPr>
      <w:fldChar w:fldCharType="end"/>
    </w:r>
  </w:p>
  <w:p w:rsidR="005E41F3" w:rsidRDefault="005E41F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54" w:rsidRDefault="00844554" w:rsidP="001F4738">
      <w:r>
        <w:separator/>
      </w:r>
    </w:p>
  </w:footnote>
  <w:footnote w:type="continuationSeparator" w:id="0">
    <w:p w:rsidR="00844554" w:rsidRDefault="00844554" w:rsidP="001F4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Маркированный список 1"/>
    <w:lvl w:ilvl="0">
      <w:start w:val="1"/>
      <w:numFmt w:val="bullet"/>
      <w:lvlText w:val="–"/>
      <w:lvlJc w:val="left"/>
      <w:pPr>
        <w:tabs>
          <w:tab w:val="num" w:pos="0"/>
        </w:tabs>
      </w:pPr>
      <w:rPr>
        <w:rFonts w:ascii="Times New Roman" w:hAnsi="Times New Roman"/>
      </w:rPr>
    </w:lvl>
    <w:lvl w:ilvl="1">
      <w:start w:val="1"/>
      <w:numFmt w:val="bullet"/>
      <w:lvlText w:val="–"/>
      <w:lvlJc w:val="left"/>
      <w:pPr>
        <w:tabs>
          <w:tab w:val="num" w:pos="454"/>
        </w:tabs>
        <w:ind w:left="454" w:hanging="227"/>
      </w:pPr>
      <w:rPr>
        <w:rFonts w:ascii="Times New Roman" w:hAnsi="Times New Roman"/>
      </w:rPr>
    </w:lvl>
    <w:lvl w:ilvl="2">
      <w:start w:val="1"/>
      <w:numFmt w:val="bullet"/>
      <w:lvlText w:val="–"/>
      <w:lvlJc w:val="left"/>
      <w:pPr>
        <w:tabs>
          <w:tab w:val="num" w:pos="680"/>
        </w:tabs>
        <w:ind w:left="680" w:hanging="227"/>
      </w:pPr>
      <w:rPr>
        <w:rFonts w:ascii="Times New Roman" w:hAnsi="Times New Roman"/>
      </w:rPr>
    </w:lvl>
    <w:lvl w:ilvl="3">
      <w:start w:val="1"/>
      <w:numFmt w:val="bullet"/>
      <w:lvlText w:val="–"/>
      <w:lvlJc w:val="left"/>
      <w:pPr>
        <w:tabs>
          <w:tab w:val="num" w:pos="907"/>
        </w:tabs>
        <w:ind w:left="907" w:hanging="227"/>
      </w:pPr>
      <w:rPr>
        <w:rFonts w:ascii="Times New Roman" w:hAnsi="Times New Roman"/>
      </w:rPr>
    </w:lvl>
    <w:lvl w:ilvl="4">
      <w:start w:val="1"/>
      <w:numFmt w:val="bullet"/>
      <w:lvlText w:val="–"/>
      <w:lvlJc w:val="left"/>
      <w:pPr>
        <w:tabs>
          <w:tab w:val="num" w:pos="1134"/>
        </w:tabs>
        <w:ind w:left="1134" w:hanging="227"/>
      </w:pPr>
      <w:rPr>
        <w:rFonts w:ascii="Times New Roman" w:hAnsi="Times New Roman"/>
      </w:rPr>
    </w:lvl>
    <w:lvl w:ilvl="5">
      <w:start w:val="1"/>
      <w:numFmt w:val="bullet"/>
      <w:lvlText w:val="–"/>
      <w:lvlJc w:val="left"/>
      <w:pPr>
        <w:tabs>
          <w:tab w:val="num" w:pos="1361"/>
        </w:tabs>
        <w:ind w:left="1361" w:hanging="227"/>
      </w:pPr>
      <w:rPr>
        <w:rFonts w:ascii="Times New Roman" w:hAnsi="Times New Roman"/>
      </w:rPr>
    </w:lvl>
    <w:lvl w:ilvl="6">
      <w:start w:val="1"/>
      <w:numFmt w:val="bullet"/>
      <w:lvlText w:val="–"/>
      <w:lvlJc w:val="left"/>
      <w:pPr>
        <w:tabs>
          <w:tab w:val="num" w:pos="1587"/>
        </w:tabs>
        <w:ind w:left="1587" w:hanging="227"/>
      </w:pPr>
      <w:rPr>
        <w:rFonts w:ascii="Times New Roman" w:hAnsi="Times New Roman"/>
      </w:rPr>
    </w:lvl>
    <w:lvl w:ilvl="7">
      <w:start w:val="1"/>
      <w:numFmt w:val="bullet"/>
      <w:lvlText w:val="–"/>
      <w:lvlJc w:val="left"/>
      <w:pPr>
        <w:tabs>
          <w:tab w:val="num" w:pos="1814"/>
        </w:tabs>
        <w:ind w:left="1814" w:hanging="227"/>
      </w:pPr>
      <w:rPr>
        <w:rFonts w:ascii="Times New Roman" w:hAnsi="Times New Roman"/>
      </w:rPr>
    </w:lvl>
    <w:lvl w:ilvl="8">
      <w:start w:val="1"/>
      <w:numFmt w:val="bullet"/>
      <w:lvlText w:val="–"/>
      <w:lvlJc w:val="left"/>
      <w:pPr>
        <w:tabs>
          <w:tab w:val="num" w:pos="2041"/>
        </w:tabs>
        <w:ind w:left="2041" w:hanging="227"/>
      </w:pPr>
      <w:rPr>
        <w:rFonts w:ascii="Times New Roman" w:hAnsi="Times New Roman"/>
      </w:rPr>
    </w:lvl>
  </w:abstractNum>
  <w:abstractNum w:abstractNumId="1"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2"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15:restartNumberingAfterBreak="0">
    <w:nsid w:val="00000009"/>
    <w:multiLevelType w:val="multilevel"/>
    <w:tmpl w:val="00000009"/>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4" w15:restartNumberingAfterBreak="0">
    <w:nsid w:val="0000000A"/>
    <w:multiLevelType w:val="multilevel"/>
    <w:tmpl w:val="0000000A"/>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5" w15:restartNumberingAfterBreak="0">
    <w:nsid w:val="018043F4"/>
    <w:multiLevelType w:val="multilevel"/>
    <w:tmpl w:val="00000009"/>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6" w15:restartNumberingAfterBreak="0">
    <w:nsid w:val="09F35429"/>
    <w:multiLevelType w:val="hybridMultilevel"/>
    <w:tmpl w:val="EFC85CA2"/>
    <w:lvl w:ilvl="0" w:tplc="8452CE8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F42BC"/>
    <w:multiLevelType w:val="multilevel"/>
    <w:tmpl w:val="D076EA6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EC83963"/>
    <w:multiLevelType w:val="hybridMultilevel"/>
    <w:tmpl w:val="02DC2AE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06C3749"/>
    <w:multiLevelType w:val="hybridMultilevel"/>
    <w:tmpl w:val="DAF46AD4"/>
    <w:lvl w:ilvl="0" w:tplc="A2E227D0">
      <w:start w:val="7"/>
      <w:numFmt w:val="decimal"/>
      <w:lvlText w:val="%1"/>
      <w:lvlJc w:val="left"/>
      <w:pPr>
        <w:ind w:left="1074" w:hanging="360"/>
      </w:pPr>
      <w:rPr>
        <w:rFonts w:cs="Times New Roman" w:hint="default"/>
      </w:rPr>
    </w:lvl>
    <w:lvl w:ilvl="1" w:tplc="04190019">
      <w:start w:val="1"/>
      <w:numFmt w:val="lowerLetter"/>
      <w:lvlText w:val="%2."/>
      <w:lvlJc w:val="left"/>
      <w:pPr>
        <w:ind w:left="1794" w:hanging="360"/>
      </w:pPr>
      <w:rPr>
        <w:rFonts w:cs="Times New Roman"/>
      </w:rPr>
    </w:lvl>
    <w:lvl w:ilvl="2" w:tplc="0419001B">
      <w:start w:val="1"/>
      <w:numFmt w:val="lowerRoman"/>
      <w:lvlText w:val="%3."/>
      <w:lvlJc w:val="right"/>
      <w:pPr>
        <w:ind w:left="2514" w:hanging="180"/>
      </w:pPr>
      <w:rPr>
        <w:rFonts w:cs="Times New Roman"/>
      </w:rPr>
    </w:lvl>
    <w:lvl w:ilvl="3" w:tplc="0419000F">
      <w:start w:val="1"/>
      <w:numFmt w:val="decimal"/>
      <w:lvlText w:val="%4."/>
      <w:lvlJc w:val="left"/>
      <w:pPr>
        <w:ind w:left="3234" w:hanging="360"/>
      </w:pPr>
      <w:rPr>
        <w:rFonts w:cs="Times New Roman"/>
      </w:rPr>
    </w:lvl>
    <w:lvl w:ilvl="4" w:tplc="04190019">
      <w:start w:val="1"/>
      <w:numFmt w:val="lowerLetter"/>
      <w:lvlText w:val="%5."/>
      <w:lvlJc w:val="left"/>
      <w:pPr>
        <w:ind w:left="3954" w:hanging="360"/>
      </w:pPr>
      <w:rPr>
        <w:rFonts w:cs="Times New Roman"/>
      </w:rPr>
    </w:lvl>
    <w:lvl w:ilvl="5" w:tplc="0419001B">
      <w:start w:val="1"/>
      <w:numFmt w:val="lowerRoman"/>
      <w:lvlText w:val="%6."/>
      <w:lvlJc w:val="right"/>
      <w:pPr>
        <w:ind w:left="4674" w:hanging="180"/>
      </w:pPr>
      <w:rPr>
        <w:rFonts w:cs="Times New Roman"/>
      </w:rPr>
    </w:lvl>
    <w:lvl w:ilvl="6" w:tplc="0419000F">
      <w:start w:val="1"/>
      <w:numFmt w:val="decimal"/>
      <w:lvlText w:val="%7."/>
      <w:lvlJc w:val="left"/>
      <w:pPr>
        <w:ind w:left="5394" w:hanging="360"/>
      </w:pPr>
      <w:rPr>
        <w:rFonts w:cs="Times New Roman"/>
      </w:rPr>
    </w:lvl>
    <w:lvl w:ilvl="7" w:tplc="04190019">
      <w:start w:val="1"/>
      <w:numFmt w:val="lowerLetter"/>
      <w:lvlText w:val="%8."/>
      <w:lvlJc w:val="left"/>
      <w:pPr>
        <w:ind w:left="6114" w:hanging="360"/>
      </w:pPr>
      <w:rPr>
        <w:rFonts w:cs="Times New Roman"/>
      </w:rPr>
    </w:lvl>
    <w:lvl w:ilvl="8" w:tplc="0419001B">
      <w:start w:val="1"/>
      <w:numFmt w:val="lowerRoman"/>
      <w:lvlText w:val="%9."/>
      <w:lvlJc w:val="right"/>
      <w:pPr>
        <w:ind w:left="6834" w:hanging="180"/>
      </w:pPr>
      <w:rPr>
        <w:rFonts w:cs="Times New Roman"/>
      </w:rPr>
    </w:lvl>
  </w:abstractNum>
  <w:abstractNum w:abstractNumId="10" w15:restartNumberingAfterBreak="0">
    <w:nsid w:val="13461629"/>
    <w:multiLevelType w:val="hybridMultilevel"/>
    <w:tmpl w:val="115EC2F8"/>
    <w:lvl w:ilvl="0" w:tplc="50763F20">
      <w:start w:val="4"/>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45368ED"/>
    <w:multiLevelType w:val="hybridMultilevel"/>
    <w:tmpl w:val="430A6504"/>
    <w:lvl w:ilvl="0" w:tplc="9CCA7C5C">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2" w15:restartNumberingAfterBreak="0">
    <w:nsid w:val="1F2E4DE4"/>
    <w:multiLevelType w:val="hybridMultilevel"/>
    <w:tmpl w:val="E26AA854"/>
    <w:lvl w:ilvl="0" w:tplc="AB5A1E0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319EE"/>
    <w:multiLevelType w:val="hybridMultilevel"/>
    <w:tmpl w:val="19C8927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264BC6"/>
    <w:multiLevelType w:val="multilevel"/>
    <w:tmpl w:val="4224BC7A"/>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29C62FE"/>
    <w:multiLevelType w:val="multilevel"/>
    <w:tmpl w:val="A9F2251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5474B7F"/>
    <w:multiLevelType w:val="hybridMultilevel"/>
    <w:tmpl w:val="17269196"/>
    <w:lvl w:ilvl="0" w:tplc="F5BCDDE4">
      <w:start w:val="1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80C1ADF"/>
    <w:multiLevelType w:val="multilevel"/>
    <w:tmpl w:val="00000009"/>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3.%4.%5.%6."/>
      <w:lvlJc w:val="left"/>
      <w:pPr>
        <w:tabs>
          <w:tab w:val="num" w:pos="0"/>
        </w:tabs>
      </w:pPr>
      <w:rPr>
        <w:rFonts w:cs="Times New Roman"/>
      </w:rPr>
    </w:lvl>
    <w:lvl w:ilvl="6">
      <w:start w:val="1"/>
      <w:numFmt w:val="decimal"/>
      <w:lvlText w:val="%4.%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6.%7.%8.%9."/>
      <w:lvlJc w:val="left"/>
      <w:pPr>
        <w:tabs>
          <w:tab w:val="num" w:pos="0"/>
        </w:tabs>
      </w:pPr>
      <w:rPr>
        <w:rFonts w:cs="Times New Roman"/>
      </w:rPr>
    </w:lvl>
  </w:abstractNum>
  <w:abstractNum w:abstractNumId="18" w15:restartNumberingAfterBreak="0">
    <w:nsid w:val="282F4EFE"/>
    <w:multiLevelType w:val="hybridMultilevel"/>
    <w:tmpl w:val="92A09846"/>
    <w:lvl w:ilvl="0" w:tplc="B6A46330">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685916"/>
    <w:multiLevelType w:val="hybridMultilevel"/>
    <w:tmpl w:val="F080156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FF7652B"/>
    <w:multiLevelType w:val="hybridMultilevel"/>
    <w:tmpl w:val="F90494D2"/>
    <w:lvl w:ilvl="0" w:tplc="F5044C5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00B4542"/>
    <w:multiLevelType w:val="multilevel"/>
    <w:tmpl w:val="59C09524"/>
    <w:lvl w:ilvl="0">
      <w:start w:val="5"/>
      <w:numFmt w:val="decimal"/>
      <w:lvlText w:val="%1."/>
      <w:lvlJc w:val="left"/>
      <w:pPr>
        <w:ind w:left="360" w:hanging="360"/>
      </w:pPr>
      <w:rPr>
        <w:rFonts w:cs="Times New Roman" w:hint="default"/>
      </w:rPr>
    </w:lvl>
    <w:lvl w:ilvl="1">
      <w:start w:val="3"/>
      <w:numFmt w:val="decimal"/>
      <w:lvlText w:val="%1.%2."/>
      <w:lvlJc w:val="left"/>
      <w:pPr>
        <w:ind w:left="1260"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22" w15:restartNumberingAfterBreak="0">
    <w:nsid w:val="30D51CB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15:restartNumberingAfterBreak="0">
    <w:nsid w:val="333122E5"/>
    <w:multiLevelType w:val="hybridMultilevel"/>
    <w:tmpl w:val="36D62EDE"/>
    <w:lvl w:ilvl="0" w:tplc="B4689302">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1A137F"/>
    <w:multiLevelType w:val="hybridMultilevel"/>
    <w:tmpl w:val="AEA8CE7E"/>
    <w:lvl w:ilvl="0" w:tplc="53E26DC8">
      <w:start w:val="1"/>
      <w:numFmt w:val="bullet"/>
      <w:lvlText w:val="-"/>
      <w:lvlJc w:val="left"/>
      <w:pPr>
        <w:ind w:left="900" w:hanging="360"/>
      </w:pPr>
      <w:rPr>
        <w:rFonts w:ascii="Times New Roman" w:eastAsia="Times New Roman" w:hAnsi="Times New Roman" w:hint="default"/>
      </w:rPr>
    </w:lvl>
    <w:lvl w:ilvl="1" w:tplc="0812FC8C">
      <w:start w:val="1"/>
      <w:numFmt w:val="bullet"/>
      <w:lvlText w:val="o"/>
      <w:lvlJc w:val="left"/>
      <w:pPr>
        <w:ind w:left="1647" w:hanging="360"/>
      </w:pPr>
      <w:rPr>
        <w:rFonts w:ascii="Courier New" w:hAnsi="Courier New" w:hint="default"/>
      </w:rPr>
    </w:lvl>
    <w:lvl w:ilvl="2" w:tplc="250A478E">
      <w:start w:val="1"/>
      <w:numFmt w:val="bullet"/>
      <w:lvlText w:val=""/>
      <w:lvlJc w:val="left"/>
      <w:pPr>
        <w:ind w:left="2367" w:hanging="360"/>
      </w:pPr>
      <w:rPr>
        <w:rFonts w:ascii="Wingdings" w:hAnsi="Wingdings" w:hint="default"/>
      </w:rPr>
    </w:lvl>
    <w:lvl w:ilvl="3" w:tplc="987662EE">
      <w:start w:val="1"/>
      <w:numFmt w:val="bullet"/>
      <w:lvlText w:val=""/>
      <w:lvlJc w:val="left"/>
      <w:pPr>
        <w:ind w:left="3087" w:hanging="360"/>
      </w:pPr>
      <w:rPr>
        <w:rFonts w:ascii="Symbol" w:hAnsi="Symbol" w:hint="default"/>
      </w:rPr>
    </w:lvl>
    <w:lvl w:ilvl="4" w:tplc="A2E6E134">
      <w:start w:val="1"/>
      <w:numFmt w:val="bullet"/>
      <w:lvlText w:val="o"/>
      <w:lvlJc w:val="left"/>
      <w:pPr>
        <w:ind w:left="3807" w:hanging="360"/>
      </w:pPr>
      <w:rPr>
        <w:rFonts w:ascii="Courier New" w:hAnsi="Courier New" w:hint="default"/>
      </w:rPr>
    </w:lvl>
    <w:lvl w:ilvl="5" w:tplc="3D4E53C2">
      <w:start w:val="1"/>
      <w:numFmt w:val="bullet"/>
      <w:lvlText w:val=""/>
      <w:lvlJc w:val="left"/>
      <w:pPr>
        <w:ind w:left="4527" w:hanging="360"/>
      </w:pPr>
      <w:rPr>
        <w:rFonts w:ascii="Wingdings" w:hAnsi="Wingdings" w:hint="default"/>
      </w:rPr>
    </w:lvl>
    <w:lvl w:ilvl="6" w:tplc="8CDEAD0A">
      <w:start w:val="1"/>
      <w:numFmt w:val="bullet"/>
      <w:lvlText w:val=""/>
      <w:lvlJc w:val="left"/>
      <w:pPr>
        <w:ind w:left="5247" w:hanging="360"/>
      </w:pPr>
      <w:rPr>
        <w:rFonts w:ascii="Symbol" w:hAnsi="Symbol" w:hint="default"/>
      </w:rPr>
    </w:lvl>
    <w:lvl w:ilvl="7" w:tplc="04E6284A">
      <w:start w:val="1"/>
      <w:numFmt w:val="bullet"/>
      <w:lvlText w:val="o"/>
      <w:lvlJc w:val="left"/>
      <w:pPr>
        <w:ind w:left="5967" w:hanging="360"/>
      </w:pPr>
      <w:rPr>
        <w:rFonts w:ascii="Courier New" w:hAnsi="Courier New" w:hint="default"/>
      </w:rPr>
    </w:lvl>
    <w:lvl w:ilvl="8" w:tplc="E1367B50">
      <w:start w:val="1"/>
      <w:numFmt w:val="bullet"/>
      <w:lvlText w:val=""/>
      <w:lvlJc w:val="left"/>
      <w:pPr>
        <w:ind w:left="6687" w:hanging="360"/>
      </w:pPr>
      <w:rPr>
        <w:rFonts w:ascii="Wingdings" w:hAnsi="Wingdings" w:hint="default"/>
      </w:rPr>
    </w:lvl>
  </w:abstractNum>
  <w:abstractNum w:abstractNumId="25" w15:restartNumberingAfterBreak="0">
    <w:nsid w:val="49FE52E7"/>
    <w:multiLevelType w:val="multilevel"/>
    <w:tmpl w:val="FD7890EA"/>
    <w:lvl w:ilvl="0">
      <w:start w:val="4"/>
      <w:numFmt w:val="decimal"/>
      <w:lvlText w:val="%1."/>
      <w:lvlJc w:val="left"/>
      <w:pPr>
        <w:ind w:left="1353"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53814BD6"/>
    <w:multiLevelType w:val="multilevel"/>
    <w:tmpl w:val="76C25054"/>
    <w:lvl w:ilvl="0">
      <w:start w:val="31"/>
      <w:numFmt w:val="bullet"/>
      <w:lvlText w:val="-"/>
      <w:lvlJc w:val="left"/>
      <w:pPr>
        <w:tabs>
          <w:tab w:val="num" w:pos="1263"/>
        </w:tabs>
        <w:ind w:left="1263" w:hanging="708"/>
      </w:pPr>
      <w:rPr>
        <w:rFonts w:ascii="Times New Roman" w:eastAsia="Times New Roman" w:hAnsi="Times New Roman" w:hint="default"/>
      </w:rPr>
    </w:lvl>
    <w:lvl w:ilvl="1">
      <w:start w:val="1"/>
      <w:numFmt w:val="bullet"/>
      <w:lvlText w:val="o"/>
      <w:lvlJc w:val="left"/>
      <w:pPr>
        <w:tabs>
          <w:tab w:val="num" w:pos="1635"/>
        </w:tabs>
        <w:ind w:left="1635" w:hanging="360"/>
      </w:pPr>
      <w:rPr>
        <w:rFonts w:ascii="Courier New" w:hAnsi="Courier New" w:hint="default"/>
      </w:rPr>
    </w:lvl>
    <w:lvl w:ilvl="2">
      <w:start w:val="1"/>
      <w:numFmt w:val="bullet"/>
      <w:lvlText w:val=""/>
      <w:lvlJc w:val="left"/>
      <w:pPr>
        <w:tabs>
          <w:tab w:val="num" w:pos="2355"/>
        </w:tabs>
        <w:ind w:left="2355" w:hanging="360"/>
      </w:pPr>
      <w:rPr>
        <w:rFonts w:ascii="Wingdings" w:hAnsi="Wingdings" w:hint="default"/>
      </w:rPr>
    </w:lvl>
    <w:lvl w:ilvl="3">
      <w:start w:val="1"/>
      <w:numFmt w:val="bullet"/>
      <w:lvlText w:val=""/>
      <w:lvlJc w:val="left"/>
      <w:pPr>
        <w:tabs>
          <w:tab w:val="num" w:pos="3075"/>
        </w:tabs>
        <w:ind w:left="3075" w:hanging="360"/>
      </w:pPr>
      <w:rPr>
        <w:rFonts w:ascii="Symbol" w:hAnsi="Symbol" w:hint="default"/>
      </w:rPr>
    </w:lvl>
    <w:lvl w:ilvl="4">
      <w:start w:val="1"/>
      <w:numFmt w:val="bullet"/>
      <w:lvlText w:val="o"/>
      <w:lvlJc w:val="left"/>
      <w:pPr>
        <w:tabs>
          <w:tab w:val="num" w:pos="3795"/>
        </w:tabs>
        <w:ind w:left="3795" w:hanging="360"/>
      </w:pPr>
      <w:rPr>
        <w:rFonts w:ascii="Courier New" w:hAnsi="Courier New" w:hint="default"/>
      </w:rPr>
    </w:lvl>
    <w:lvl w:ilvl="5">
      <w:start w:val="1"/>
      <w:numFmt w:val="bullet"/>
      <w:lvlText w:val=""/>
      <w:lvlJc w:val="left"/>
      <w:pPr>
        <w:tabs>
          <w:tab w:val="num" w:pos="4515"/>
        </w:tabs>
        <w:ind w:left="4515" w:hanging="360"/>
      </w:pPr>
      <w:rPr>
        <w:rFonts w:ascii="Wingdings" w:hAnsi="Wingdings" w:hint="default"/>
      </w:rPr>
    </w:lvl>
    <w:lvl w:ilvl="6">
      <w:start w:val="1"/>
      <w:numFmt w:val="bullet"/>
      <w:lvlText w:val=""/>
      <w:lvlJc w:val="left"/>
      <w:pPr>
        <w:tabs>
          <w:tab w:val="num" w:pos="5235"/>
        </w:tabs>
        <w:ind w:left="5235" w:hanging="360"/>
      </w:pPr>
      <w:rPr>
        <w:rFonts w:ascii="Symbol" w:hAnsi="Symbol" w:hint="default"/>
      </w:rPr>
    </w:lvl>
    <w:lvl w:ilvl="7">
      <w:start w:val="1"/>
      <w:numFmt w:val="bullet"/>
      <w:lvlText w:val="o"/>
      <w:lvlJc w:val="left"/>
      <w:pPr>
        <w:tabs>
          <w:tab w:val="num" w:pos="5955"/>
        </w:tabs>
        <w:ind w:left="5955" w:hanging="360"/>
      </w:pPr>
      <w:rPr>
        <w:rFonts w:ascii="Courier New" w:hAnsi="Courier New" w:hint="default"/>
      </w:rPr>
    </w:lvl>
    <w:lvl w:ilvl="8">
      <w:start w:val="1"/>
      <w:numFmt w:val="bullet"/>
      <w:lvlText w:val=""/>
      <w:lvlJc w:val="left"/>
      <w:pPr>
        <w:tabs>
          <w:tab w:val="num" w:pos="6675"/>
        </w:tabs>
        <w:ind w:left="6675" w:hanging="360"/>
      </w:pPr>
      <w:rPr>
        <w:rFonts w:ascii="Wingdings" w:hAnsi="Wingdings" w:hint="default"/>
      </w:rPr>
    </w:lvl>
  </w:abstractNum>
  <w:abstractNum w:abstractNumId="27" w15:restartNumberingAfterBreak="0">
    <w:nsid w:val="58E50F9B"/>
    <w:multiLevelType w:val="hybridMultilevel"/>
    <w:tmpl w:val="2F60CA2A"/>
    <w:lvl w:ilvl="0" w:tplc="7D9EAB14">
      <w:start w:val="2"/>
      <w:numFmt w:val="decimal"/>
      <w:lvlText w:val="%1."/>
      <w:lvlJc w:val="left"/>
      <w:pPr>
        <w:ind w:left="1440" w:hanging="360"/>
      </w:pPr>
      <w:rPr>
        <w:rFonts w:cs="Times New Roman" w:hint="default"/>
      </w:rPr>
    </w:lvl>
    <w:lvl w:ilvl="1" w:tplc="CE00909C">
      <w:start w:val="1"/>
      <w:numFmt w:val="lowerLetter"/>
      <w:lvlText w:val="%2."/>
      <w:lvlJc w:val="left"/>
      <w:pPr>
        <w:ind w:left="2160" w:hanging="360"/>
      </w:pPr>
      <w:rPr>
        <w:rFonts w:cs="Times New Roman"/>
      </w:rPr>
    </w:lvl>
    <w:lvl w:ilvl="2" w:tplc="326833A0">
      <w:start w:val="1"/>
      <w:numFmt w:val="lowerRoman"/>
      <w:lvlText w:val="%3."/>
      <w:lvlJc w:val="right"/>
      <w:pPr>
        <w:ind w:left="2880" w:hanging="180"/>
      </w:pPr>
      <w:rPr>
        <w:rFonts w:cs="Times New Roman"/>
      </w:rPr>
    </w:lvl>
    <w:lvl w:ilvl="3" w:tplc="030AFC04">
      <w:start w:val="1"/>
      <w:numFmt w:val="decimal"/>
      <w:lvlText w:val="%4."/>
      <w:lvlJc w:val="left"/>
      <w:pPr>
        <w:ind w:left="3600" w:hanging="360"/>
      </w:pPr>
      <w:rPr>
        <w:rFonts w:cs="Times New Roman"/>
      </w:rPr>
    </w:lvl>
    <w:lvl w:ilvl="4" w:tplc="C450DCBA">
      <w:start w:val="1"/>
      <w:numFmt w:val="lowerLetter"/>
      <w:lvlText w:val="%5."/>
      <w:lvlJc w:val="left"/>
      <w:pPr>
        <w:ind w:left="4320" w:hanging="360"/>
      </w:pPr>
      <w:rPr>
        <w:rFonts w:cs="Times New Roman"/>
      </w:rPr>
    </w:lvl>
    <w:lvl w:ilvl="5" w:tplc="893A0ED2">
      <w:start w:val="1"/>
      <w:numFmt w:val="lowerRoman"/>
      <w:lvlText w:val="%6."/>
      <w:lvlJc w:val="right"/>
      <w:pPr>
        <w:ind w:left="5040" w:hanging="180"/>
      </w:pPr>
      <w:rPr>
        <w:rFonts w:cs="Times New Roman"/>
      </w:rPr>
    </w:lvl>
    <w:lvl w:ilvl="6" w:tplc="FFCE0EE4">
      <w:start w:val="1"/>
      <w:numFmt w:val="decimal"/>
      <w:lvlText w:val="%7."/>
      <w:lvlJc w:val="left"/>
      <w:pPr>
        <w:ind w:left="5760" w:hanging="360"/>
      </w:pPr>
      <w:rPr>
        <w:rFonts w:cs="Times New Roman"/>
      </w:rPr>
    </w:lvl>
    <w:lvl w:ilvl="7" w:tplc="7DA229CE">
      <w:start w:val="1"/>
      <w:numFmt w:val="lowerLetter"/>
      <w:lvlText w:val="%8."/>
      <w:lvlJc w:val="left"/>
      <w:pPr>
        <w:ind w:left="6480" w:hanging="360"/>
      </w:pPr>
      <w:rPr>
        <w:rFonts w:cs="Times New Roman"/>
      </w:rPr>
    </w:lvl>
    <w:lvl w:ilvl="8" w:tplc="1B1EA836">
      <w:start w:val="1"/>
      <w:numFmt w:val="lowerRoman"/>
      <w:lvlText w:val="%9."/>
      <w:lvlJc w:val="right"/>
      <w:pPr>
        <w:ind w:left="7200" w:hanging="180"/>
      </w:pPr>
      <w:rPr>
        <w:rFonts w:cs="Times New Roman"/>
      </w:rPr>
    </w:lvl>
  </w:abstractNum>
  <w:abstractNum w:abstractNumId="28" w15:restartNumberingAfterBreak="0">
    <w:nsid w:val="655D7D6E"/>
    <w:multiLevelType w:val="hybridMultilevel"/>
    <w:tmpl w:val="5B1475AA"/>
    <w:lvl w:ilvl="0" w:tplc="356484D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66C265CC"/>
    <w:multiLevelType w:val="multilevel"/>
    <w:tmpl w:val="3474C73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89D2C7E"/>
    <w:multiLevelType w:val="hybridMultilevel"/>
    <w:tmpl w:val="76C25054"/>
    <w:lvl w:ilvl="0" w:tplc="0FDA9A1A">
      <w:start w:val="31"/>
      <w:numFmt w:val="bullet"/>
      <w:lvlText w:val="-"/>
      <w:lvlJc w:val="left"/>
      <w:pPr>
        <w:tabs>
          <w:tab w:val="num" w:pos="1263"/>
        </w:tabs>
        <w:ind w:left="1263" w:hanging="708"/>
      </w:pPr>
      <w:rPr>
        <w:rFonts w:ascii="Times New Roman" w:eastAsia="Times New Roman" w:hAnsi="Times New Roman" w:hint="default"/>
      </w:rPr>
    </w:lvl>
    <w:lvl w:ilvl="1" w:tplc="3E1C01A0">
      <w:start w:val="1"/>
      <w:numFmt w:val="bullet"/>
      <w:lvlText w:val="o"/>
      <w:lvlJc w:val="left"/>
      <w:pPr>
        <w:tabs>
          <w:tab w:val="num" w:pos="1635"/>
        </w:tabs>
        <w:ind w:left="1635" w:hanging="360"/>
      </w:pPr>
      <w:rPr>
        <w:rFonts w:ascii="Courier New" w:hAnsi="Courier New" w:hint="default"/>
      </w:rPr>
    </w:lvl>
    <w:lvl w:ilvl="2" w:tplc="B4C6C71E">
      <w:start w:val="1"/>
      <w:numFmt w:val="bullet"/>
      <w:lvlText w:val=""/>
      <w:lvlJc w:val="left"/>
      <w:pPr>
        <w:tabs>
          <w:tab w:val="num" w:pos="2355"/>
        </w:tabs>
        <w:ind w:left="2355" w:hanging="360"/>
      </w:pPr>
      <w:rPr>
        <w:rFonts w:ascii="Wingdings" w:hAnsi="Wingdings" w:hint="default"/>
      </w:rPr>
    </w:lvl>
    <w:lvl w:ilvl="3" w:tplc="7A688056">
      <w:start w:val="1"/>
      <w:numFmt w:val="bullet"/>
      <w:lvlText w:val=""/>
      <w:lvlJc w:val="left"/>
      <w:pPr>
        <w:tabs>
          <w:tab w:val="num" w:pos="3075"/>
        </w:tabs>
        <w:ind w:left="3075" w:hanging="360"/>
      </w:pPr>
      <w:rPr>
        <w:rFonts w:ascii="Symbol" w:hAnsi="Symbol" w:hint="default"/>
      </w:rPr>
    </w:lvl>
    <w:lvl w:ilvl="4" w:tplc="E6525B9E">
      <w:start w:val="1"/>
      <w:numFmt w:val="bullet"/>
      <w:lvlText w:val="o"/>
      <w:lvlJc w:val="left"/>
      <w:pPr>
        <w:tabs>
          <w:tab w:val="num" w:pos="3795"/>
        </w:tabs>
        <w:ind w:left="3795" w:hanging="360"/>
      </w:pPr>
      <w:rPr>
        <w:rFonts w:ascii="Courier New" w:hAnsi="Courier New" w:hint="default"/>
      </w:rPr>
    </w:lvl>
    <w:lvl w:ilvl="5" w:tplc="3632A1DC">
      <w:start w:val="1"/>
      <w:numFmt w:val="bullet"/>
      <w:lvlText w:val=""/>
      <w:lvlJc w:val="left"/>
      <w:pPr>
        <w:tabs>
          <w:tab w:val="num" w:pos="4515"/>
        </w:tabs>
        <w:ind w:left="4515" w:hanging="360"/>
      </w:pPr>
      <w:rPr>
        <w:rFonts w:ascii="Wingdings" w:hAnsi="Wingdings" w:hint="default"/>
      </w:rPr>
    </w:lvl>
    <w:lvl w:ilvl="6" w:tplc="FD52FE30">
      <w:start w:val="1"/>
      <w:numFmt w:val="bullet"/>
      <w:lvlText w:val=""/>
      <w:lvlJc w:val="left"/>
      <w:pPr>
        <w:tabs>
          <w:tab w:val="num" w:pos="5235"/>
        </w:tabs>
        <w:ind w:left="5235" w:hanging="360"/>
      </w:pPr>
      <w:rPr>
        <w:rFonts w:ascii="Symbol" w:hAnsi="Symbol" w:hint="default"/>
      </w:rPr>
    </w:lvl>
    <w:lvl w:ilvl="7" w:tplc="169CD642">
      <w:start w:val="1"/>
      <w:numFmt w:val="bullet"/>
      <w:lvlText w:val="o"/>
      <w:lvlJc w:val="left"/>
      <w:pPr>
        <w:tabs>
          <w:tab w:val="num" w:pos="5955"/>
        </w:tabs>
        <w:ind w:left="5955" w:hanging="360"/>
      </w:pPr>
      <w:rPr>
        <w:rFonts w:ascii="Courier New" w:hAnsi="Courier New" w:hint="default"/>
      </w:rPr>
    </w:lvl>
    <w:lvl w:ilvl="8" w:tplc="5CB64EBE">
      <w:start w:val="1"/>
      <w:numFmt w:val="bullet"/>
      <w:lvlText w:val=""/>
      <w:lvlJc w:val="left"/>
      <w:pPr>
        <w:tabs>
          <w:tab w:val="num" w:pos="6675"/>
        </w:tabs>
        <w:ind w:left="6675" w:hanging="360"/>
      </w:pPr>
      <w:rPr>
        <w:rFonts w:ascii="Wingdings" w:hAnsi="Wingdings" w:hint="default"/>
      </w:rPr>
    </w:lvl>
  </w:abstractNum>
  <w:abstractNum w:abstractNumId="31" w15:restartNumberingAfterBreak="0">
    <w:nsid w:val="692B6E12"/>
    <w:multiLevelType w:val="hybridMultilevel"/>
    <w:tmpl w:val="F2344094"/>
    <w:lvl w:ilvl="0" w:tplc="2730DB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30"/>
  </w:num>
  <w:num w:numId="8">
    <w:abstractNumId w:val="26"/>
  </w:num>
  <w:num w:numId="9">
    <w:abstractNumId w:val="20"/>
  </w:num>
  <w:num w:numId="10">
    <w:abstractNumId w:val="27"/>
  </w:num>
  <w:num w:numId="11">
    <w:abstractNumId w:val="16"/>
  </w:num>
  <w:num w:numId="12">
    <w:abstractNumId w:val="22"/>
  </w:num>
  <w:num w:numId="13">
    <w:abstractNumId w:val="17"/>
  </w:num>
  <w:num w:numId="14">
    <w:abstractNumId w:val="24"/>
  </w:num>
  <w:num w:numId="15">
    <w:abstractNumId w:val="10"/>
  </w:num>
  <w:num w:numId="16">
    <w:abstractNumId w:val="5"/>
  </w:num>
  <w:num w:numId="17">
    <w:abstractNumId w:val="12"/>
  </w:num>
  <w:num w:numId="18">
    <w:abstractNumId w:val="9"/>
  </w:num>
  <w:num w:numId="19">
    <w:abstractNumId w:val="11"/>
  </w:num>
  <w:num w:numId="20">
    <w:abstractNumId w:val="14"/>
  </w:num>
  <w:num w:numId="21">
    <w:abstractNumId w:val="7"/>
  </w:num>
  <w:num w:numId="22">
    <w:abstractNumId w:val="8"/>
  </w:num>
  <w:num w:numId="23">
    <w:abstractNumId w:val="29"/>
  </w:num>
  <w:num w:numId="24">
    <w:abstractNumId w:val="25"/>
  </w:num>
  <w:num w:numId="25">
    <w:abstractNumId w:val="21"/>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1"/>
  </w:num>
  <w:num w:numId="29">
    <w:abstractNumId w:val="15"/>
  </w:num>
  <w:num w:numId="30">
    <w:abstractNumId w:val="18"/>
  </w:num>
  <w:num w:numId="31">
    <w:abstractNumId w:val="28"/>
  </w:num>
  <w:num w:numId="32">
    <w:abstractNumId w:val="1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37915"/>
    <w:rsid w:val="00002B4B"/>
    <w:rsid w:val="00010933"/>
    <w:rsid w:val="00010B43"/>
    <w:rsid w:val="00013BD6"/>
    <w:rsid w:val="00015D1C"/>
    <w:rsid w:val="00022BB1"/>
    <w:rsid w:val="000232D7"/>
    <w:rsid w:val="00024EE4"/>
    <w:rsid w:val="0002628D"/>
    <w:rsid w:val="00031D84"/>
    <w:rsid w:val="0003303A"/>
    <w:rsid w:val="00034EAD"/>
    <w:rsid w:val="00036E3D"/>
    <w:rsid w:val="00041839"/>
    <w:rsid w:val="00041CCB"/>
    <w:rsid w:val="0004400A"/>
    <w:rsid w:val="00044A33"/>
    <w:rsid w:val="00045333"/>
    <w:rsid w:val="00046503"/>
    <w:rsid w:val="000526CA"/>
    <w:rsid w:val="000610CC"/>
    <w:rsid w:val="0006262F"/>
    <w:rsid w:val="000662D5"/>
    <w:rsid w:val="000663F2"/>
    <w:rsid w:val="0006724E"/>
    <w:rsid w:val="00072A21"/>
    <w:rsid w:val="00075A1F"/>
    <w:rsid w:val="00075FDE"/>
    <w:rsid w:val="00076410"/>
    <w:rsid w:val="00080F02"/>
    <w:rsid w:val="00082522"/>
    <w:rsid w:val="00082D84"/>
    <w:rsid w:val="0008594A"/>
    <w:rsid w:val="00092361"/>
    <w:rsid w:val="0009591F"/>
    <w:rsid w:val="000968E1"/>
    <w:rsid w:val="000A054D"/>
    <w:rsid w:val="000A06D8"/>
    <w:rsid w:val="000A0ECA"/>
    <w:rsid w:val="000A2C25"/>
    <w:rsid w:val="000A45C2"/>
    <w:rsid w:val="000B0116"/>
    <w:rsid w:val="000B47D4"/>
    <w:rsid w:val="000B6649"/>
    <w:rsid w:val="000C0008"/>
    <w:rsid w:val="000C0F04"/>
    <w:rsid w:val="000C2096"/>
    <w:rsid w:val="000C670C"/>
    <w:rsid w:val="000C72C1"/>
    <w:rsid w:val="000D5986"/>
    <w:rsid w:val="000D5FEE"/>
    <w:rsid w:val="000D6956"/>
    <w:rsid w:val="000D72EF"/>
    <w:rsid w:val="000D7CAF"/>
    <w:rsid w:val="000E1284"/>
    <w:rsid w:val="000E1A0C"/>
    <w:rsid w:val="000E1C32"/>
    <w:rsid w:val="000E4BDE"/>
    <w:rsid w:val="000F5238"/>
    <w:rsid w:val="000F57BD"/>
    <w:rsid w:val="000F5CF1"/>
    <w:rsid w:val="000F5E2E"/>
    <w:rsid w:val="00101D6A"/>
    <w:rsid w:val="001034AE"/>
    <w:rsid w:val="00107592"/>
    <w:rsid w:val="00107892"/>
    <w:rsid w:val="00112CDA"/>
    <w:rsid w:val="00120ADC"/>
    <w:rsid w:val="0012763A"/>
    <w:rsid w:val="001345E6"/>
    <w:rsid w:val="00140190"/>
    <w:rsid w:val="00141759"/>
    <w:rsid w:val="0014176C"/>
    <w:rsid w:val="001449A5"/>
    <w:rsid w:val="00146A1E"/>
    <w:rsid w:val="00152C3F"/>
    <w:rsid w:val="0016458A"/>
    <w:rsid w:val="00165D08"/>
    <w:rsid w:val="00177180"/>
    <w:rsid w:val="00187D0C"/>
    <w:rsid w:val="00195892"/>
    <w:rsid w:val="001A1750"/>
    <w:rsid w:val="001A4FD7"/>
    <w:rsid w:val="001B2214"/>
    <w:rsid w:val="001C1933"/>
    <w:rsid w:val="001C2EFC"/>
    <w:rsid w:val="001C4995"/>
    <w:rsid w:val="001C4E64"/>
    <w:rsid w:val="001C66E6"/>
    <w:rsid w:val="001C7D9F"/>
    <w:rsid w:val="001D0121"/>
    <w:rsid w:val="001D3591"/>
    <w:rsid w:val="001D3A04"/>
    <w:rsid w:val="001D4853"/>
    <w:rsid w:val="001D500C"/>
    <w:rsid w:val="001E2AF4"/>
    <w:rsid w:val="001F383C"/>
    <w:rsid w:val="001F3D8D"/>
    <w:rsid w:val="001F4738"/>
    <w:rsid w:val="00201360"/>
    <w:rsid w:val="00204C7A"/>
    <w:rsid w:val="00206A8B"/>
    <w:rsid w:val="00212C97"/>
    <w:rsid w:val="00212D04"/>
    <w:rsid w:val="00215D5D"/>
    <w:rsid w:val="00222157"/>
    <w:rsid w:val="0023495C"/>
    <w:rsid w:val="002378D3"/>
    <w:rsid w:val="00240AAE"/>
    <w:rsid w:val="00241DD1"/>
    <w:rsid w:val="002455E4"/>
    <w:rsid w:val="00246FB4"/>
    <w:rsid w:val="0025568C"/>
    <w:rsid w:val="00255ECC"/>
    <w:rsid w:val="002570EB"/>
    <w:rsid w:val="00266D9A"/>
    <w:rsid w:val="00275F42"/>
    <w:rsid w:val="0028173F"/>
    <w:rsid w:val="002845B8"/>
    <w:rsid w:val="0028517E"/>
    <w:rsid w:val="002861E9"/>
    <w:rsid w:val="002A054F"/>
    <w:rsid w:val="002A0766"/>
    <w:rsid w:val="002A14C9"/>
    <w:rsid w:val="002A7683"/>
    <w:rsid w:val="002B1012"/>
    <w:rsid w:val="002B39F8"/>
    <w:rsid w:val="002B5410"/>
    <w:rsid w:val="002C07B5"/>
    <w:rsid w:val="002C2A23"/>
    <w:rsid w:val="002D06C2"/>
    <w:rsid w:val="002D162C"/>
    <w:rsid w:val="002D20BA"/>
    <w:rsid w:val="002E0C86"/>
    <w:rsid w:val="002E1B8A"/>
    <w:rsid w:val="002E1EB8"/>
    <w:rsid w:val="002E3461"/>
    <w:rsid w:val="002E5EA7"/>
    <w:rsid w:val="002E7B8D"/>
    <w:rsid w:val="002F5F27"/>
    <w:rsid w:val="002F68E5"/>
    <w:rsid w:val="00311F27"/>
    <w:rsid w:val="003125BE"/>
    <w:rsid w:val="00320C3D"/>
    <w:rsid w:val="00321094"/>
    <w:rsid w:val="00330360"/>
    <w:rsid w:val="003351FB"/>
    <w:rsid w:val="003441B3"/>
    <w:rsid w:val="0035022F"/>
    <w:rsid w:val="003510DE"/>
    <w:rsid w:val="00353880"/>
    <w:rsid w:val="0035755C"/>
    <w:rsid w:val="00357C84"/>
    <w:rsid w:val="00357D1E"/>
    <w:rsid w:val="00360005"/>
    <w:rsid w:val="00364F22"/>
    <w:rsid w:val="003718E3"/>
    <w:rsid w:val="00377C3F"/>
    <w:rsid w:val="00380065"/>
    <w:rsid w:val="00380E58"/>
    <w:rsid w:val="00385BEC"/>
    <w:rsid w:val="003909A2"/>
    <w:rsid w:val="003A6270"/>
    <w:rsid w:val="003B1CC0"/>
    <w:rsid w:val="003B1E2C"/>
    <w:rsid w:val="003B5088"/>
    <w:rsid w:val="003B640D"/>
    <w:rsid w:val="003C42AD"/>
    <w:rsid w:val="003C56EC"/>
    <w:rsid w:val="003C5A38"/>
    <w:rsid w:val="003D2FD6"/>
    <w:rsid w:val="003E2F8A"/>
    <w:rsid w:val="003E5156"/>
    <w:rsid w:val="003F5C61"/>
    <w:rsid w:val="003F7FF7"/>
    <w:rsid w:val="00401B73"/>
    <w:rsid w:val="00402AA0"/>
    <w:rsid w:val="00402FAE"/>
    <w:rsid w:val="00403D32"/>
    <w:rsid w:val="00410591"/>
    <w:rsid w:val="0041443E"/>
    <w:rsid w:val="0041579B"/>
    <w:rsid w:val="00416647"/>
    <w:rsid w:val="004178A1"/>
    <w:rsid w:val="00420155"/>
    <w:rsid w:val="00423258"/>
    <w:rsid w:val="004278BC"/>
    <w:rsid w:val="00430548"/>
    <w:rsid w:val="004335BD"/>
    <w:rsid w:val="00437915"/>
    <w:rsid w:val="00446E71"/>
    <w:rsid w:val="00452537"/>
    <w:rsid w:val="00452970"/>
    <w:rsid w:val="00453AF0"/>
    <w:rsid w:val="004613CF"/>
    <w:rsid w:val="00461B94"/>
    <w:rsid w:val="00465A5A"/>
    <w:rsid w:val="00466460"/>
    <w:rsid w:val="00467B4B"/>
    <w:rsid w:val="004704D7"/>
    <w:rsid w:val="00472041"/>
    <w:rsid w:val="00475E13"/>
    <w:rsid w:val="00481149"/>
    <w:rsid w:val="00481A05"/>
    <w:rsid w:val="0048452C"/>
    <w:rsid w:val="00486AE5"/>
    <w:rsid w:val="00486F69"/>
    <w:rsid w:val="004876A4"/>
    <w:rsid w:val="0049176A"/>
    <w:rsid w:val="004953F1"/>
    <w:rsid w:val="0049604C"/>
    <w:rsid w:val="00496C3D"/>
    <w:rsid w:val="00496C96"/>
    <w:rsid w:val="0049701B"/>
    <w:rsid w:val="004A0E6C"/>
    <w:rsid w:val="004A136B"/>
    <w:rsid w:val="004A47AA"/>
    <w:rsid w:val="004B05B8"/>
    <w:rsid w:val="004B1E29"/>
    <w:rsid w:val="004B3DEB"/>
    <w:rsid w:val="004B4CBE"/>
    <w:rsid w:val="004B54BC"/>
    <w:rsid w:val="004B6D6F"/>
    <w:rsid w:val="004B750A"/>
    <w:rsid w:val="004B75F0"/>
    <w:rsid w:val="004C06C1"/>
    <w:rsid w:val="004D30AF"/>
    <w:rsid w:val="004D3DF2"/>
    <w:rsid w:val="004D4656"/>
    <w:rsid w:val="004D726E"/>
    <w:rsid w:val="004D7741"/>
    <w:rsid w:val="004E0A35"/>
    <w:rsid w:val="004E35C8"/>
    <w:rsid w:val="004E400E"/>
    <w:rsid w:val="004F22CA"/>
    <w:rsid w:val="004F79F4"/>
    <w:rsid w:val="00501370"/>
    <w:rsid w:val="00514F0B"/>
    <w:rsid w:val="00516167"/>
    <w:rsid w:val="00516DB8"/>
    <w:rsid w:val="0051759E"/>
    <w:rsid w:val="00524FC5"/>
    <w:rsid w:val="0052601C"/>
    <w:rsid w:val="00527D5D"/>
    <w:rsid w:val="00534ECB"/>
    <w:rsid w:val="0053537B"/>
    <w:rsid w:val="00536586"/>
    <w:rsid w:val="0054422F"/>
    <w:rsid w:val="00544AD3"/>
    <w:rsid w:val="00554CA2"/>
    <w:rsid w:val="0055586B"/>
    <w:rsid w:val="00557119"/>
    <w:rsid w:val="00561494"/>
    <w:rsid w:val="00562B21"/>
    <w:rsid w:val="0058075F"/>
    <w:rsid w:val="00580EC3"/>
    <w:rsid w:val="00581DAF"/>
    <w:rsid w:val="0058594D"/>
    <w:rsid w:val="00585AFD"/>
    <w:rsid w:val="00586A27"/>
    <w:rsid w:val="00586C5B"/>
    <w:rsid w:val="00591059"/>
    <w:rsid w:val="00591713"/>
    <w:rsid w:val="0059190E"/>
    <w:rsid w:val="005A1079"/>
    <w:rsid w:val="005A1B72"/>
    <w:rsid w:val="005A47B8"/>
    <w:rsid w:val="005B2AF2"/>
    <w:rsid w:val="005B538F"/>
    <w:rsid w:val="005B5FE5"/>
    <w:rsid w:val="005B63C1"/>
    <w:rsid w:val="005B6AAD"/>
    <w:rsid w:val="005C1808"/>
    <w:rsid w:val="005D02E8"/>
    <w:rsid w:val="005D23E8"/>
    <w:rsid w:val="005D2C89"/>
    <w:rsid w:val="005E0CD7"/>
    <w:rsid w:val="005E210F"/>
    <w:rsid w:val="005E41F3"/>
    <w:rsid w:val="005E43EF"/>
    <w:rsid w:val="005E7780"/>
    <w:rsid w:val="005F27AA"/>
    <w:rsid w:val="005F3E09"/>
    <w:rsid w:val="005F4582"/>
    <w:rsid w:val="005F6464"/>
    <w:rsid w:val="005F6505"/>
    <w:rsid w:val="005F7CC8"/>
    <w:rsid w:val="00601BCC"/>
    <w:rsid w:val="00603C20"/>
    <w:rsid w:val="00606639"/>
    <w:rsid w:val="006105C8"/>
    <w:rsid w:val="0061395F"/>
    <w:rsid w:val="00614120"/>
    <w:rsid w:val="00616C7B"/>
    <w:rsid w:val="00626073"/>
    <w:rsid w:val="00632A93"/>
    <w:rsid w:val="00634664"/>
    <w:rsid w:val="00635424"/>
    <w:rsid w:val="00637093"/>
    <w:rsid w:val="006504B7"/>
    <w:rsid w:val="00651C02"/>
    <w:rsid w:val="00662039"/>
    <w:rsid w:val="00672373"/>
    <w:rsid w:val="00674902"/>
    <w:rsid w:val="00675E65"/>
    <w:rsid w:val="0068768B"/>
    <w:rsid w:val="00690189"/>
    <w:rsid w:val="0069157B"/>
    <w:rsid w:val="00693CFC"/>
    <w:rsid w:val="006975E2"/>
    <w:rsid w:val="006A3335"/>
    <w:rsid w:val="006B0407"/>
    <w:rsid w:val="006B3C2B"/>
    <w:rsid w:val="006B6FE0"/>
    <w:rsid w:val="006C1922"/>
    <w:rsid w:val="006C364A"/>
    <w:rsid w:val="006C5862"/>
    <w:rsid w:val="006D2EB1"/>
    <w:rsid w:val="006D4C50"/>
    <w:rsid w:val="006D54D6"/>
    <w:rsid w:val="006D67A1"/>
    <w:rsid w:val="006D7E5D"/>
    <w:rsid w:val="006F240A"/>
    <w:rsid w:val="006F307D"/>
    <w:rsid w:val="006F43A9"/>
    <w:rsid w:val="006F6DE2"/>
    <w:rsid w:val="00703DAE"/>
    <w:rsid w:val="00704CF3"/>
    <w:rsid w:val="0070601E"/>
    <w:rsid w:val="00712E10"/>
    <w:rsid w:val="00714354"/>
    <w:rsid w:val="0071522A"/>
    <w:rsid w:val="00723DED"/>
    <w:rsid w:val="007256C8"/>
    <w:rsid w:val="00726583"/>
    <w:rsid w:val="0073229C"/>
    <w:rsid w:val="00733608"/>
    <w:rsid w:val="00733DC3"/>
    <w:rsid w:val="007342FB"/>
    <w:rsid w:val="0073771C"/>
    <w:rsid w:val="00740A5E"/>
    <w:rsid w:val="007439D4"/>
    <w:rsid w:val="007459D8"/>
    <w:rsid w:val="0074753A"/>
    <w:rsid w:val="007478F4"/>
    <w:rsid w:val="00750158"/>
    <w:rsid w:val="007516AE"/>
    <w:rsid w:val="0075742D"/>
    <w:rsid w:val="007637AB"/>
    <w:rsid w:val="00770FED"/>
    <w:rsid w:val="0077106A"/>
    <w:rsid w:val="007725AB"/>
    <w:rsid w:val="00777210"/>
    <w:rsid w:val="00782A10"/>
    <w:rsid w:val="00785DC3"/>
    <w:rsid w:val="007915DF"/>
    <w:rsid w:val="007944CE"/>
    <w:rsid w:val="00796D11"/>
    <w:rsid w:val="00797EC9"/>
    <w:rsid w:val="007A3B66"/>
    <w:rsid w:val="007A6C6D"/>
    <w:rsid w:val="007B32AC"/>
    <w:rsid w:val="007B5FEC"/>
    <w:rsid w:val="007B7184"/>
    <w:rsid w:val="007C1740"/>
    <w:rsid w:val="007C34C6"/>
    <w:rsid w:val="007C3A5A"/>
    <w:rsid w:val="007C407C"/>
    <w:rsid w:val="007C6E88"/>
    <w:rsid w:val="007D04AA"/>
    <w:rsid w:val="007D39CD"/>
    <w:rsid w:val="007D3E91"/>
    <w:rsid w:val="007D432F"/>
    <w:rsid w:val="007E573A"/>
    <w:rsid w:val="007E7F42"/>
    <w:rsid w:val="007F0847"/>
    <w:rsid w:val="007F3117"/>
    <w:rsid w:val="007F53F6"/>
    <w:rsid w:val="007F5B4C"/>
    <w:rsid w:val="00800B3E"/>
    <w:rsid w:val="0080359A"/>
    <w:rsid w:val="00805885"/>
    <w:rsid w:val="00807003"/>
    <w:rsid w:val="008105E0"/>
    <w:rsid w:val="0081321D"/>
    <w:rsid w:val="00823062"/>
    <w:rsid w:val="008243F2"/>
    <w:rsid w:val="00827B92"/>
    <w:rsid w:val="00831795"/>
    <w:rsid w:val="00831DE7"/>
    <w:rsid w:val="00833A07"/>
    <w:rsid w:val="00834A02"/>
    <w:rsid w:val="00835383"/>
    <w:rsid w:val="008421CF"/>
    <w:rsid w:val="00843AD2"/>
    <w:rsid w:val="00844554"/>
    <w:rsid w:val="0084488F"/>
    <w:rsid w:val="008463BE"/>
    <w:rsid w:val="008475E4"/>
    <w:rsid w:val="00850566"/>
    <w:rsid w:val="00856E6E"/>
    <w:rsid w:val="00860283"/>
    <w:rsid w:val="00860516"/>
    <w:rsid w:val="00866DCB"/>
    <w:rsid w:val="00870E64"/>
    <w:rsid w:val="00870FD9"/>
    <w:rsid w:val="00873316"/>
    <w:rsid w:val="00876DC4"/>
    <w:rsid w:val="00882E92"/>
    <w:rsid w:val="008836CC"/>
    <w:rsid w:val="0089589D"/>
    <w:rsid w:val="008965C2"/>
    <w:rsid w:val="008A272C"/>
    <w:rsid w:val="008A5B71"/>
    <w:rsid w:val="008A7CE2"/>
    <w:rsid w:val="008B07AD"/>
    <w:rsid w:val="008B198E"/>
    <w:rsid w:val="008C0557"/>
    <w:rsid w:val="008C088A"/>
    <w:rsid w:val="008C1DFB"/>
    <w:rsid w:val="008C2900"/>
    <w:rsid w:val="008E11F7"/>
    <w:rsid w:val="008E1C11"/>
    <w:rsid w:val="009055AB"/>
    <w:rsid w:val="0090695D"/>
    <w:rsid w:val="00906A64"/>
    <w:rsid w:val="00906B80"/>
    <w:rsid w:val="00910A58"/>
    <w:rsid w:val="00911F3B"/>
    <w:rsid w:val="00913ABC"/>
    <w:rsid w:val="00915E69"/>
    <w:rsid w:val="009220CF"/>
    <w:rsid w:val="00925CFB"/>
    <w:rsid w:val="00931B4F"/>
    <w:rsid w:val="00931B62"/>
    <w:rsid w:val="00932640"/>
    <w:rsid w:val="00932899"/>
    <w:rsid w:val="0094161E"/>
    <w:rsid w:val="00942417"/>
    <w:rsid w:val="00962D44"/>
    <w:rsid w:val="009633C1"/>
    <w:rsid w:val="00963F58"/>
    <w:rsid w:val="009647F0"/>
    <w:rsid w:val="00965F98"/>
    <w:rsid w:val="00966B26"/>
    <w:rsid w:val="009748E9"/>
    <w:rsid w:val="009803FC"/>
    <w:rsid w:val="009805BB"/>
    <w:rsid w:val="009855EC"/>
    <w:rsid w:val="0098641B"/>
    <w:rsid w:val="009A7F06"/>
    <w:rsid w:val="009B4B15"/>
    <w:rsid w:val="009C0825"/>
    <w:rsid w:val="009C5C89"/>
    <w:rsid w:val="009C7BD6"/>
    <w:rsid w:val="009D2D23"/>
    <w:rsid w:val="009D2F74"/>
    <w:rsid w:val="009D5B8B"/>
    <w:rsid w:val="009D6B6F"/>
    <w:rsid w:val="009E220C"/>
    <w:rsid w:val="009E405C"/>
    <w:rsid w:val="009E40C5"/>
    <w:rsid w:val="009E576F"/>
    <w:rsid w:val="009E6E78"/>
    <w:rsid w:val="009F076D"/>
    <w:rsid w:val="009F1556"/>
    <w:rsid w:val="009F1BE8"/>
    <w:rsid w:val="009F2380"/>
    <w:rsid w:val="00A00D1E"/>
    <w:rsid w:val="00A01287"/>
    <w:rsid w:val="00A037CA"/>
    <w:rsid w:val="00A1036C"/>
    <w:rsid w:val="00A12CA4"/>
    <w:rsid w:val="00A14909"/>
    <w:rsid w:val="00A15566"/>
    <w:rsid w:val="00A17A39"/>
    <w:rsid w:val="00A22095"/>
    <w:rsid w:val="00A23455"/>
    <w:rsid w:val="00A328AE"/>
    <w:rsid w:val="00A339E3"/>
    <w:rsid w:val="00A34210"/>
    <w:rsid w:val="00A348B3"/>
    <w:rsid w:val="00A36514"/>
    <w:rsid w:val="00A42547"/>
    <w:rsid w:val="00A43060"/>
    <w:rsid w:val="00A45684"/>
    <w:rsid w:val="00A573CB"/>
    <w:rsid w:val="00A62782"/>
    <w:rsid w:val="00A65D74"/>
    <w:rsid w:val="00A66548"/>
    <w:rsid w:val="00A73FB6"/>
    <w:rsid w:val="00A75F47"/>
    <w:rsid w:val="00A77736"/>
    <w:rsid w:val="00A820B0"/>
    <w:rsid w:val="00A83A73"/>
    <w:rsid w:val="00A8404E"/>
    <w:rsid w:val="00A86411"/>
    <w:rsid w:val="00A86524"/>
    <w:rsid w:val="00A91919"/>
    <w:rsid w:val="00A92C2E"/>
    <w:rsid w:val="00A94EC1"/>
    <w:rsid w:val="00A96570"/>
    <w:rsid w:val="00AA4483"/>
    <w:rsid w:val="00AA449F"/>
    <w:rsid w:val="00AA5013"/>
    <w:rsid w:val="00AA6080"/>
    <w:rsid w:val="00AB53DB"/>
    <w:rsid w:val="00AC16B4"/>
    <w:rsid w:val="00AC1764"/>
    <w:rsid w:val="00AC1CB1"/>
    <w:rsid w:val="00AC2065"/>
    <w:rsid w:val="00AD6F7B"/>
    <w:rsid w:val="00AD7AF2"/>
    <w:rsid w:val="00AE02E4"/>
    <w:rsid w:val="00AE15B6"/>
    <w:rsid w:val="00AE2775"/>
    <w:rsid w:val="00AE518A"/>
    <w:rsid w:val="00AE61F3"/>
    <w:rsid w:val="00AF24EB"/>
    <w:rsid w:val="00AF3A24"/>
    <w:rsid w:val="00AF519E"/>
    <w:rsid w:val="00AF7D60"/>
    <w:rsid w:val="00B00E6F"/>
    <w:rsid w:val="00B0110D"/>
    <w:rsid w:val="00B03AE5"/>
    <w:rsid w:val="00B043C3"/>
    <w:rsid w:val="00B068A9"/>
    <w:rsid w:val="00B121F7"/>
    <w:rsid w:val="00B17C2E"/>
    <w:rsid w:val="00B209AF"/>
    <w:rsid w:val="00B20F1C"/>
    <w:rsid w:val="00B21CB5"/>
    <w:rsid w:val="00B274B7"/>
    <w:rsid w:val="00B31886"/>
    <w:rsid w:val="00B34B5E"/>
    <w:rsid w:val="00B34B81"/>
    <w:rsid w:val="00B35C05"/>
    <w:rsid w:val="00B377F3"/>
    <w:rsid w:val="00B4440F"/>
    <w:rsid w:val="00B46EC5"/>
    <w:rsid w:val="00B46F25"/>
    <w:rsid w:val="00B5084C"/>
    <w:rsid w:val="00B50E3A"/>
    <w:rsid w:val="00B5729B"/>
    <w:rsid w:val="00B627AD"/>
    <w:rsid w:val="00B64E0F"/>
    <w:rsid w:val="00B661CD"/>
    <w:rsid w:val="00B70B3C"/>
    <w:rsid w:val="00B71794"/>
    <w:rsid w:val="00B719A7"/>
    <w:rsid w:val="00B754B6"/>
    <w:rsid w:val="00B75E88"/>
    <w:rsid w:val="00B822F7"/>
    <w:rsid w:val="00B853EA"/>
    <w:rsid w:val="00B914A5"/>
    <w:rsid w:val="00B966DE"/>
    <w:rsid w:val="00BA0677"/>
    <w:rsid w:val="00BA1E93"/>
    <w:rsid w:val="00BA29C2"/>
    <w:rsid w:val="00BA2F46"/>
    <w:rsid w:val="00BA53F3"/>
    <w:rsid w:val="00BA78FD"/>
    <w:rsid w:val="00BB07C6"/>
    <w:rsid w:val="00BB53D7"/>
    <w:rsid w:val="00BC18B9"/>
    <w:rsid w:val="00BC38CB"/>
    <w:rsid w:val="00BC756E"/>
    <w:rsid w:val="00BD1087"/>
    <w:rsid w:val="00BD2265"/>
    <w:rsid w:val="00BD34B9"/>
    <w:rsid w:val="00BD3B53"/>
    <w:rsid w:val="00BD51DA"/>
    <w:rsid w:val="00BE4DF5"/>
    <w:rsid w:val="00BF08E8"/>
    <w:rsid w:val="00BF311A"/>
    <w:rsid w:val="00BF3CD9"/>
    <w:rsid w:val="00BF5143"/>
    <w:rsid w:val="00C04DEA"/>
    <w:rsid w:val="00C06AE5"/>
    <w:rsid w:val="00C10010"/>
    <w:rsid w:val="00C1494B"/>
    <w:rsid w:val="00C23F5E"/>
    <w:rsid w:val="00C257EE"/>
    <w:rsid w:val="00C26753"/>
    <w:rsid w:val="00C345F8"/>
    <w:rsid w:val="00C36D85"/>
    <w:rsid w:val="00C40FA0"/>
    <w:rsid w:val="00C41C60"/>
    <w:rsid w:val="00C42918"/>
    <w:rsid w:val="00C45331"/>
    <w:rsid w:val="00C4689B"/>
    <w:rsid w:val="00C67A02"/>
    <w:rsid w:val="00C71F08"/>
    <w:rsid w:val="00C835B4"/>
    <w:rsid w:val="00C858F0"/>
    <w:rsid w:val="00C93AC9"/>
    <w:rsid w:val="00C93D49"/>
    <w:rsid w:val="00CA24F9"/>
    <w:rsid w:val="00CA2F15"/>
    <w:rsid w:val="00CA5D30"/>
    <w:rsid w:val="00CA67CC"/>
    <w:rsid w:val="00CB0C09"/>
    <w:rsid w:val="00CB1601"/>
    <w:rsid w:val="00CB1CDC"/>
    <w:rsid w:val="00CC0211"/>
    <w:rsid w:val="00CC3301"/>
    <w:rsid w:val="00CC4ADB"/>
    <w:rsid w:val="00CC4F5C"/>
    <w:rsid w:val="00CC7BA1"/>
    <w:rsid w:val="00CD01E8"/>
    <w:rsid w:val="00CD0898"/>
    <w:rsid w:val="00CD595D"/>
    <w:rsid w:val="00CD719B"/>
    <w:rsid w:val="00CD7EA3"/>
    <w:rsid w:val="00CE361C"/>
    <w:rsid w:val="00CE5F53"/>
    <w:rsid w:val="00CF216F"/>
    <w:rsid w:val="00CF3BC3"/>
    <w:rsid w:val="00D00373"/>
    <w:rsid w:val="00D027C1"/>
    <w:rsid w:val="00D02DB1"/>
    <w:rsid w:val="00D03672"/>
    <w:rsid w:val="00D0650A"/>
    <w:rsid w:val="00D06D4B"/>
    <w:rsid w:val="00D07DE4"/>
    <w:rsid w:val="00D121D4"/>
    <w:rsid w:val="00D146AC"/>
    <w:rsid w:val="00D21EEA"/>
    <w:rsid w:val="00D26BED"/>
    <w:rsid w:val="00D31604"/>
    <w:rsid w:val="00D3593C"/>
    <w:rsid w:val="00D36F1C"/>
    <w:rsid w:val="00D420B4"/>
    <w:rsid w:val="00D422A4"/>
    <w:rsid w:val="00D45212"/>
    <w:rsid w:val="00D52510"/>
    <w:rsid w:val="00D52F96"/>
    <w:rsid w:val="00D5465E"/>
    <w:rsid w:val="00D572BD"/>
    <w:rsid w:val="00D573BC"/>
    <w:rsid w:val="00D62481"/>
    <w:rsid w:val="00D629D1"/>
    <w:rsid w:val="00D6403C"/>
    <w:rsid w:val="00D67243"/>
    <w:rsid w:val="00D81E9C"/>
    <w:rsid w:val="00D871DE"/>
    <w:rsid w:val="00D95D55"/>
    <w:rsid w:val="00DA47AC"/>
    <w:rsid w:val="00DA724F"/>
    <w:rsid w:val="00DB118C"/>
    <w:rsid w:val="00DB3817"/>
    <w:rsid w:val="00DB5E39"/>
    <w:rsid w:val="00DC44C3"/>
    <w:rsid w:val="00DC664C"/>
    <w:rsid w:val="00DC760C"/>
    <w:rsid w:val="00DE2870"/>
    <w:rsid w:val="00DE3A94"/>
    <w:rsid w:val="00DE461C"/>
    <w:rsid w:val="00DE5620"/>
    <w:rsid w:val="00DE6768"/>
    <w:rsid w:val="00DF0E67"/>
    <w:rsid w:val="00DF523D"/>
    <w:rsid w:val="00DF5DF1"/>
    <w:rsid w:val="00DF78D5"/>
    <w:rsid w:val="00E026C1"/>
    <w:rsid w:val="00E10BED"/>
    <w:rsid w:val="00E11471"/>
    <w:rsid w:val="00E158F8"/>
    <w:rsid w:val="00E16B6C"/>
    <w:rsid w:val="00E200CD"/>
    <w:rsid w:val="00E2287D"/>
    <w:rsid w:val="00E23936"/>
    <w:rsid w:val="00E24A1D"/>
    <w:rsid w:val="00E255A0"/>
    <w:rsid w:val="00E31936"/>
    <w:rsid w:val="00E345BA"/>
    <w:rsid w:val="00E3529C"/>
    <w:rsid w:val="00E35C85"/>
    <w:rsid w:val="00E35F03"/>
    <w:rsid w:val="00E4051F"/>
    <w:rsid w:val="00E4474D"/>
    <w:rsid w:val="00E44C03"/>
    <w:rsid w:val="00E503C3"/>
    <w:rsid w:val="00E51785"/>
    <w:rsid w:val="00E5189F"/>
    <w:rsid w:val="00E51C52"/>
    <w:rsid w:val="00E553C0"/>
    <w:rsid w:val="00E577B5"/>
    <w:rsid w:val="00E62354"/>
    <w:rsid w:val="00E72720"/>
    <w:rsid w:val="00E73D5F"/>
    <w:rsid w:val="00E7752A"/>
    <w:rsid w:val="00E84859"/>
    <w:rsid w:val="00E852AD"/>
    <w:rsid w:val="00E878CE"/>
    <w:rsid w:val="00E914F3"/>
    <w:rsid w:val="00E91983"/>
    <w:rsid w:val="00E9235D"/>
    <w:rsid w:val="00E95457"/>
    <w:rsid w:val="00E97B62"/>
    <w:rsid w:val="00EA1922"/>
    <w:rsid w:val="00EA4947"/>
    <w:rsid w:val="00EB0E75"/>
    <w:rsid w:val="00EB0E76"/>
    <w:rsid w:val="00EB0F63"/>
    <w:rsid w:val="00EB1362"/>
    <w:rsid w:val="00EB33F0"/>
    <w:rsid w:val="00EB360F"/>
    <w:rsid w:val="00EB376F"/>
    <w:rsid w:val="00EB6FA9"/>
    <w:rsid w:val="00EB7C4F"/>
    <w:rsid w:val="00EC4020"/>
    <w:rsid w:val="00EC4F95"/>
    <w:rsid w:val="00ED1565"/>
    <w:rsid w:val="00ED5FB2"/>
    <w:rsid w:val="00ED789B"/>
    <w:rsid w:val="00EE01A1"/>
    <w:rsid w:val="00EE2F25"/>
    <w:rsid w:val="00EE2FAA"/>
    <w:rsid w:val="00EE5A09"/>
    <w:rsid w:val="00EF35A5"/>
    <w:rsid w:val="00EF3879"/>
    <w:rsid w:val="00F03F6B"/>
    <w:rsid w:val="00F15DB4"/>
    <w:rsid w:val="00F161ED"/>
    <w:rsid w:val="00F31920"/>
    <w:rsid w:val="00F31E61"/>
    <w:rsid w:val="00F351E8"/>
    <w:rsid w:val="00F47DEA"/>
    <w:rsid w:val="00F47F04"/>
    <w:rsid w:val="00F564B9"/>
    <w:rsid w:val="00F57B80"/>
    <w:rsid w:val="00F62370"/>
    <w:rsid w:val="00F63574"/>
    <w:rsid w:val="00F66B25"/>
    <w:rsid w:val="00F671FE"/>
    <w:rsid w:val="00F67C6B"/>
    <w:rsid w:val="00F72444"/>
    <w:rsid w:val="00F734CD"/>
    <w:rsid w:val="00F76F86"/>
    <w:rsid w:val="00F80E03"/>
    <w:rsid w:val="00F81FCA"/>
    <w:rsid w:val="00F83824"/>
    <w:rsid w:val="00F8440D"/>
    <w:rsid w:val="00F852B2"/>
    <w:rsid w:val="00F866FC"/>
    <w:rsid w:val="00F95BFF"/>
    <w:rsid w:val="00F96157"/>
    <w:rsid w:val="00FA364E"/>
    <w:rsid w:val="00FA4003"/>
    <w:rsid w:val="00FA67B8"/>
    <w:rsid w:val="00FA76AD"/>
    <w:rsid w:val="00FB052C"/>
    <w:rsid w:val="00FB2384"/>
    <w:rsid w:val="00FB2D01"/>
    <w:rsid w:val="00FC1DF2"/>
    <w:rsid w:val="00FC2A6E"/>
    <w:rsid w:val="00FD1BB3"/>
    <w:rsid w:val="00FD58CF"/>
    <w:rsid w:val="00FD63FF"/>
    <w:rsid w:val="00FE3AD2"/>
    <w:rsid w:val="00FE5A9A"/>
    <w:rsid w:val="00FF1FE5"/>
    <w:rsid w:val="00FF3EE4"/>
    <w:rsid w:val="00FF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BC7072"/>
  <w15:docId w15:val="{E5FA0C65-51AC-4690-BED2-54933261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915"/>
    <w:pPr>
      <w:widowControl w:val="0"/>
      <w:suppressAutoHyphens/>
    </w:pPr>
    <w:rPr>
      <w:rFonts w:ascii="Times New Roman" w:eastAsia="Times New Roman" w:hAnsi="Times New Roman"/>
      <w:sz w:val="24"/>
      <w:szCs w:val="24"/>
    </w:rPr>
  </w:style>
  <w:style w:type="paragraph" w:styleId="1">
    <w:name w:val="heading 1"/>
    <w:basedOn w:val="10"/>
    <w:next w:val="a0"/>
    <w:link w:val="11"/>
    <w:qFormat/>
    <w:rsid w:val="00437915"/>
    <w:pPr>
      <w:tabs>
        <w:tab w:val="num" w:pos="720"/>
      </w:tabs>
      <w:spacing w:before="720" w:after="119"/>
      <w:ind w:left="720" w:firstLine="0"/>
      <w:outlineLvl w:val="0"/>
    </w:pPr>
    <w:rPr>
      <w:rFonts w:eastAsia="Calibri"/>
      <w:bCs w:val="0"/>
      <w:szCs w:val="20"/>
    </w:rPr>
  </w:style>
  <w:style w:type="paragraph" w:styleId="2">
    <w:name w:val="heading 2"/>
    <w:basedOn w:val="10"/>
    <w:next w:val="a0"/>
    <w:link w:val="20"/>
    <w:qFormat/>
    <w:rsid w:val="00437915"/>
    <w:pPr>
      <w:tabs>
        <w:tab w:val="num" w:pos="1440"/>
      </w:tabs>
      <w:spacing w:before="238" w:after="119"/>
      <w:ind w:left="1440" w:firstLine="0"/>
      <w:outlineLvl w:val="1"/>
    </w:pPr>
    <w:rPr>
      <w:rFonts w:eastAsia="Calibri"/>
      <w:bCs w:val="0"/>
      <w:szCs w:val="20"/>
    </w:rPr>
  </w:style>
  <w:style w:type="paragraph" w:styleId="3">
    <w:name w:val="heading 3"/>
    <w:basedOn w:val="10"/>
    <w:next w:val="a0"/>
    <w:link w:val="30"/>
    <w:qFormat/>
    <w:rsid w:val="00437915"/>
    <w:pPr>
      <w:numPr>
        <w:ilvl w:val="2"/>
        <w:numId w:val="6"/>
      </w:numPr>
      <w:spacing w:before="238" w:after="0"/>
      <w:outlineLvl w:val="2"/>
    </w:pPr>
    <w:rPr>
      <w:rFonts w:eastAsia="Calibri"/>
      <w:b w:val="0"/>
      <w:bCs w:val="0"/>
      <w:i/>
      <w:szCs w:val="20"/>
    </w:rPr>
  </w:style>
  <w:style w:type="paragraph" w:styleId="4">
    <w:name w:val="heading 4"/>
    <w:basedOn w:val="a"/>
    <w:next w:val="a"/>
    <w:link w:val="40"/>
    <w:semiHidden/>
    <w:unhideWhenUsed/>
    <w:qFormat/>
    <w:locked/>
    <w:rsid w:val="00A1036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locked/>
    <w:rsid w:val="00437915"/>
    <w:rPr>
      <w:rFonts w:ascii="Times New Roman" w:hAnsi="Times New Roman"/>
      <w:b/>
      <w:sz w:val="24"/>
    </w:rPr>
  </w:style>
  <w:style w:type="character" w:customStyle="1" w:styleId="20">
    <w:name w:val="Заголовок 2 Знак"/>
    <w:link w:val="2"/>
    <w:locked/>
    <w:rsid w:val="00437915"/>
    <w:rPr>
      <w:rFonts w:ascii="Times New Roman" w:hAnsi="Times New Roman"/>
      <w:b/>
      <w:sz w:val="24"/>
    </w:rPr>
  </w:style>
  <w:style w:type="character" w:customStyle="1" w:styleId="30">
    <w:name w:val="Заголовок 3 Знак"/>
    <w:link w:val="3"/>
    <w:locked/>
    <w:rsid w:val="00437915"/>
    <w:rPr>
      <w:rFonts w:ascii="Times New Roman" w:hAnsi="Times New Roman"/>
      <w:i/>
      <w:sz w:val="24"/>
    </w:rPr>
  </w:style>
  <w:style w:type="paragraph" w:styleId="a0">
    <w:name w:val="Body Text"/>
    <w:basedOn w:val="a"/>
    <w:link w:val="a4"/>
    <w:rsid w:val="00437915"/>
    <w:pPr>
      <w:widowControl/>
      <w:ind w:firstLine="567"/>
      <w:jc w:val="both"/>
    </w:pPr>
    <w:rPr>
      <w:rFonts w:eastAsia="Calibri"/>
      <w:szCs w:val="20"/>
    </w:rPr>
  </w:style>
  <w:style w:type="character" w:customStyle="1" w:styleId="a4">
    <w:name w:val="Основной текст Знак"/>
    <w:link w:val="a0"/>
    <w:locked/>
    <w:rsid w:val="00437915"/>
    <w:rPr>
      <w:rFonts w:ascii="Times New Roman" w:hAnsi="Times New Roman"/>
      <w:sz w:val="24"/>
      <w:lang w:eastAsia="ru-RU"/>
    </w:rPr>
  </w:style>
  <w:style w:type="paragraph" w:customStyle="1" w:styleId="10">
    <w:name w:val="Заголовок1"/>
    <w:basedOn w:val="a"/>
    <w:next w:val="a0"/>
    <w:rsid w:val="00437915"/>
    <w:pPr>
      <w:keepNext/>
      <w:spacing w:before="283" w:after="113"/>
      <w:ind w:firstLine="567"/>
    </w:pPr>
    <w:rPr>
      <w:b/>
      <w:bCs/>
    </w:rPr>
  </w:style>
  <w:style w:type="paragraph" w:customStyle="1" w:styleId="12">
    <w:name w:val="Маркированный список 1"/>
    <w:basedOn w:val="a5"/>
    <w:rsid w:val="00437915"/>
    <w:pPr>
      <w:widowControl/>
      <w:tabs>
        <w:tab w:val="num" w:pos="0"/>
      </w:tabs>
      <w:ind w:left="0" w:firstLine="567"/>
      <w:jc w:val="both"/>
    </w:pPr>
    <w:rPr>
      <w:lang w:val="uk-UA"/>
    </w:rPr>
  </w:style>
  <w:style w:type="paragraph" w:customStyle="1" w:styleId="a6">
    <w:name w:val="Содержимое таблицы"/>
    <w:basedOn w:val="a"/>
    <w:rsid w:val="00437915"/>
    <w:pPr>
      <w:suppressLineNumbers/>
    </w:pPr>
    <w:rPr>
      <w:w w:val="80"/>
      <w:lang w:val="uk-UA"/>
    </w:rPr>
  </w:style>
  <w:style w:type="paragraph" w:customStyle="1" w:styleId="a7">
    <w:name w:val="Заголовок таблицы"/>
    <w:basedOn w:val="a6"/>
    <w:rsid w:val="00437915"/>
    <w:pPr>
      <w:jc w:val="center"/>
      <w:textAlignment w:val="center"/>
    </w:pPr>
    <w:rPr>
      <w:b/>
      <w:bCs/>
    </w:rPr>
  </w:style>
  <w:style w:type="paragraph" w:customStyle="1" w:styleId="a8">
    <w:name w:val="Табл."/>
    <w:basedOn w:val="a"/>
    <w:rsid w:val="00437915"/>
    <w:pPr>
      <w:keepNext/>
      <w:suppressLineNumbers/>
      <w:spacing w:before="238"/>
      <w:jc w:val="right"/>
    </w:pPr>
  </w:style>
  <w:style w:type="paragraph" w:styleId="a5">
    <w:name w:val="List"/>
    <w:basedOn w:val="a"/>
    <w:semiHidden/>
    <w:rsid w:val="00437915"/>
    <w:pPr>
      <w:ind w:left="283" w:hanging="283"/>
    </w:pPr>
  </w:style>
  <w:style w:type="table" w:styleId="a9">
    <w:name w:val="Table Grid"/>
    <w:basedOn w:val="a2"/>
    <w:locked/>
    <w:rsid w:val="00EB360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EB0E75"/>
    <w:pPr>
      <w:widowControl/>
      <w:suppressAutoHyphens w:val="0"/>
      <w:spacing w:after="200" w:line="276" w:lineRule="auto"/>
      <w:ind w:left="720"/>
    </w:pPr>
    <w:rPr>
      <w:rFonts w:ascii="Calibri" w:eastAsia="Calibri" w:hAnsi="Calibri"/>
      <w:sz w:val="22"/>
      <w:szCs w:val="22"/>
      <w:lang w:eastAsia="en-US"/>
    </w:rPr>
  </w:style>
  <w:style w:type="paragraph" w:styleId="aa">
    <w:name w:val="Balloon Text"/>
    <w:basedOn w:val="a"/>
    <w:semiHidden/>
    <w:rsid w:val="000D5FEE"/>
    <w:rPr>
      <w:rFonts w:ascii="Tahoma" w:hAnsi="Tahoma" w:cs="Tahoma"/>
      <w:sz w:val="16"/>
      <w:szCs w:val="16"/>
    </w:rPr>
  </w:style>
  <w:style w:type="paragraph" w:customStyle="1" w:styleId="ab">
    <w:name w:val="ДинТекстОбыч"/>
    <w:basedOn w:val="a"/>
    <w:rsid w:val="00B31886"/>
    <w:pPr>
      <w:suppressAutoHyphens w:val="0"/>
      <w:ind w:firstLine="567"/>
      <w:jc w:val="both"/>
    </w:pPr>
    <w:rPr>
      <w:rFonts w:eastAsia="Calibri"/>
      <w:color w:val="000000"/>
      <w:sz w:val="22"/>
      <w:szCs w:val="20"/>
      <w:lang w:val="uk-UA"/>
    </w:rPr>
  </w:style>
  <w:style w:type="paragraph" w:customStyle="1" w:styleId="ac">
    <w:name w:val="ДинРазделОбыч"/>
    <w:basedOn w:val="ab"/>
    <w:autoRedefine/>
    <w:rsid w:val="00AF519E"/>
    <w:pPr>
      <w:spacing w:before="120" w:after="120"/>
      <w:ind w:firstLine="709"/>
      <w:jc w:val="left"/>
    </w:pPr>
    <w:rPr>
      <w:b/>
      <w:sz w:val="24"/>
      <w:szCs w:val="24"/>
      <w:lang w:val="ru-RU" w:eastAsia="uk-UA"/>
    </w:rPr>
  </w:style>
  <w:style w:type="paragraph" w:styleId="ad">
    <w:name w:val="Normal (Web)"/>
    <w:basedOn w:val="a"/>
    <w:rsid w:val="005B5FE5"/>
    <w:pPr>
      <w:widowControl/>
      <w:suppressAutoHyphens w:val="0"/>
      <w:spacing w:before="100" w:beforeAutospacing="1" w:after="100" w:afterAutospacing="1"/>
    </w:pPr>
    <w:rPr>
      <w:rFonts w:eastAsia="Calibri"/>
    </w:rPr>
  </w:style>
  <w:style w:type="character" w:styleId="ae">
    <w:name w:val="Hyperlink"/>
    <w:rsid w:val="00FA76AD"/>
    <w:rPr>
      <w:color w:val="0000FF"/>
      <w:u w:val="single"/>
    </w:rPr>
  </w:style>
  <w:style w:type="paragraph" w:customStyle="1" w:styleId="Default">
    <w:name w:val="Default"/>
    <w:rsid w:val="00F671FE"/>
    <w:pPr>
      <w:autoSpaceDE w:val="0"/>
      <w:autoSpaceDN w:val="0"/>
      <w:adjustRightInd w:val="0"/>
    </w:pPr>
    <w:rPr>
      <w:rFonts w:ascii="Century Gothic" w:eastAsia="Times New Roman" w:hAnsi="Century Gothic" w:cs="Century Gothic"/>
      <w:color w:val="000000"/>
      <w:sz w:val="24"/>
      <w:szCs w:val="24"/>
      <w:lang w:val="uk-UA" w:eastAsia="uk-UA"/>
    </w:rPr>
  </w:style>
  <w:style w:type="paragraph" w:customStyle="1" w:styleId="14">
    <w:name w:val="Без интервала1"/>
    <w:rsid w:val="007B5FEC"/>
    <w:rPr>
      <w:rFonts w:eastAsia="Times New Roman"/>
      <w:sz w:val="22"/>
      <w:szCs w:val="22"/>
      <w:lang w:val="uk-UA" w:eastAsia="en-US"/>
    </w:rPr>
  </w:style>
  <w:style w:type="paragraph" w:styleId="af">
    <w:name w:val="footer"/>
    <w:basedOn w:val="a"/>
    <w:link w:val="af0"/>
    <w:rsid w:val="007B5FEC"/>
    <w:pPr>
      <w:widowControl/>
      <w:tabs>
        <w:tab w:val="center" w:pos="4677"/>
        <w:tab w:val="right" w:pos="9355"/>
      </w:tabs>
      <w:suppressAutoHyphens w:val="0"/>
    </w:pPr>
    <w:rPr>
      <w:rFonts w:eastAsia="Calibri"/>
    </w:rPr>
  </w:style>
  <w:style w:type="character" w:customStyle="1" w:styleId="af0">
    <w:name w:val="Нижний колонтитул Знак"/>
    <w:link w:val="af"/>
    <w:locked/>
    <w:rsid w:val="007B5FEC"/>
    <w:rPr>
      <w:rFonts w:ascii="Times New Roman" w:hAnsi="Times New Roman" w:cs="Times New Roman"/>
      <w:sz w:val="24"/>
      <w:szCs w:val="24"/>
    </w:rPr>
  </w:style>
  <w:style w:type="paragraph" w:styleId="af1">
    <w:name w:val="Title"/>
    <w:basedOn w:val="a"/>
    <w:link w:val="af2"/>
    <w:qFormat/>
    <w:locked/>
    <w:rsid w:val="00022BB1"/>
    <w:pPr>
      <w:widowControl/>
      <w:suppressAutoHyphens w:val="0"/>
      <w:jc w:val="center"/>
    </w:pPr>
    <w:rPr>
      <w:rFonts w:eastAsia="Calibri"/>
      <w:b/>
      <w:sz w:val="20"/>
      <w:szCs w:val="20"/>
    </w:rPr>
  </w:style>
  <w:style w:type="character" w:customStyle="1" w:styleId="af2">
    <w:name w:val="Заголовок Знак"/>
    <w:link w:val="af1"/>
    <w:locked/>
    <w:rsid w:val="00022BB1"/>
    <w:rPr>
      <w:rFonts w:ascii="Times New Roman" w:hAnsi="Times New Roman" w:cs="Times New Roman"/>
      <w:b/>
    </w:rPr>
  </w:style>
  <w:style w:type="paragraph" w:customStyle="1" w:styleId="rvps2">
    <w:name w:val="rvps2"/>
    <w:basedOn w:val="a"/>
    <w:rsid w:val="00516167"/>
    <w:pPr>
      <w:widowControl/>
      <w:suppressAutoHyphens w:val="0"/>
      <w:spacing w:before="100" w:beforeAutospacing="1" w:after="100" w:afterAutospacing="1"/>
    </w:pPr>
    <w:rPr>
      <w:rFonts w:eastAsia="Calibri"/>
    </w:rPr>
  </w:style>
  <w:style w:type="character" w:customStyle="1" w:styleId="rvts48">
    <w:name w:val="rvts48"/>
    <w:rsid w:val="00516167"/>
    <w:rPr>
      <w:rFonts w:cs="Times New Roman"/>
    </w:rPr>
  </w:style>
  <w:style w:type="character" w:customStyle="1" w:styleId="rvts9">
    <w:name w:val="rvts9"/>
    <w:rsid w:val="00516167"/>
    <w:rPr>
      <w:rFonts w:cs="Times New Roman"/>
    </w:rPr>
  </w:style>
  <w:style w:type="paragraph" w:customStyle="1" w:styleId="21">
    <w:name w:val="Основной текст с отступом 21"/>
    <w:basedOn w:val="a"/>
    <w:rsid w:val="00966B26"/>
    <w:pPr>
      <w:widowControl/>
      <w:suppressAutoHyphens w:val="0"/>
      <w:ind w:firstLine="720"/>
      <w:jc w:val="both"/>
    </w:pPr>
    <w:rPr>
      <w:rFonts w:ascii="Times New Roman CYR" w:eastAsia="Calibri" w:hAnsi="Times New Roman CYR"/>
      <w:b/>
      <w:szCs w:val="20"/>
      <w:lang w:val="uk-UA"/>
    </w:rPr>
  </w:style>
  <w:style w:type="character" w:customStyle="1" w:styleId="af3">
    <w:name w:val="Основной текст_"/>
    <w:link w:val="15"/>
    <w:locked/>
    <w:rsid w:val="00D67243"/>
    <w:rPr>
      <w:rFonts w:cs="Times New Roman"/>
      <w:sz w:val="22"/>
      <w:szCs w:val="22"/>
      <w:shd w:val="clear" w:color="auto" w:fill="FFFFFF"/>
    </w:rPr>
  </w:style>
  <w:style w:type="paragraph" w:customStyle="1" w:styleId="15">
    <w:name w:val="Основной текст1"/>
    <w:basedOn w:val="a"/>
    <w:link w:val="af3"/>
    <w:rsid w:val="00D67243"/>
    <w:pPr>
      <w:shd w:val="clear" w:color="auto" w:fill="FFFFFF"/>
      <w:suppressAutoHyphens w:val="0"/>
      <w:spacing w:before="540" w:after="180" w:line="278" w:lineRule="exact"/>
      <w:ind w:hanging="340"/>
    </w:pPr>
    <w:rPr>
      <w:rFonts w:ascii="Calibri" w:eastAsia="Calibri" w:hAnsi="Calibri"/>
      <w:sz w:val="22"/>
      <w:szCs w:val="22"/>
    </w:rPr>
  </w:style>
  <w:style w:type="paragraph" w:styleId="22">
    <w:name w:val="Body Text 2"/>
    <w:basedOn w:val="a"/>
    <w:link w:val="23"/>
    <w:rsid w:val="00D67243"/>
    <w:pPr>
      <w:spacing w:after="120" w:line="480" w:lineRule="auto"/>
    </w:pPr>
    <w:rPr>
      <w:rFonts w:eastAsia="Calibri"/>
    </w:rPr>
  </w:style>
  <w:style w:type="character" w:customStyle="1" w:styleId="23">
    <w:name w:val="Основной текст 2 Знак"/>
    <w:link w:val="22"/>
    <w:locked/>
    <w:rsid w:val="00D67243"/>
    <w:rPr>
      <w:rFonts w:ascii="Times New Roman" w:hAnsi="Times New Roman" w:cs="Times New Roman"/>
      <w:sz w:val="24"/>
      <w:szCs w:val="24"/>
    </w:rPr>
  </w:style>
  <w:style w:type="paragraph" w:styleId="af4">
    <w:name w:val="header"/>
    <w:basedOn w:val="a"/>
    <w:link w:val="af5"/>
    <w:rsid w:val="001F4738"/>
    <w:pPr>
      <w:tabs>
        <w:tab w:val="center" w:pos="4677"/>
        <w:tab w:val="right" w:pos="9355"/>
      </w:tabs>
    </w:pPr>
    <w:rPr>
      <w:rFonts w:eastAsia="Calibri"/>
    </w:rPr>
  </w:style>
  <w:style w:type="character" w:customStyle="1" w:styleId="af5">
    <w:name w:val="Верхний колонтитул Знак"/>
    <w:link w:val="af4"/>
    <w:locked/>
    <w:rsid w:val="001F4738"/>
    <w:rPr>
      <w:rFonts w:ascii="Times New Roman" w:hAnsi="Times New Roman" w:cs="Times New Roman"/>
      <w:sz w:val="24"/>
      <w:szCs w:val="24"/>
    </w:rPr>
  </w:style>
  <w:style w:type="paragraph" w:styleId="31">
    <w:name w:val="Body Text 3"/>
    <w:basedOn w:val="a"/>
    <w:link w:val="32"/>
    <w:rsid w:val="0041579B"/>
    <w:pPr>
      <w:spacing w:after="120"/>
    </w:pPr>
    <w:rPr>
      <w:rFonts w:eastAsia="Calibri"/>
      <w:sz w:val="16"/>
      <w:szCs w:val="16"/>
    </w:rPr>
  </w:style>
  <w:style w:type="character" w:customStyle="1" w:styleId="32">
    <w:name w:val="Основной текст 3 Знак"/>
    <w:link w:val="31"/>
    <w:locked/>
    <w:rsid w:val="0041579B"/>
    <w:rPr>
      <w:rFonts w:ascii="Times New Roman" w:hAnsi="Times New Roman" w:cs="Times New Roman"/>
      <w:sz w:val="16"/>
      <w:szCs w:val="16"/>
    </w:rPr>
  </w:style>
  <w:style w:type="character" w:customStyle="1" w:styleId="apple-converted-space">
    <w:name w:val="apple-converted-space"/>
    <w:rsid w:val="001C1933"/>
  </w:style>
  <w:style w:type="paragraph" w:styleId="af6">
    <w:name w:val="Body Text Indent"/>
    <w:basedOn w:val="a"/>
    <w:link w:val="af7"/>
    <w:rsid w:val="007C1740"/>
    <w:pPr>
      <w:spacing w:after="120"/>
      <w:ind w:left="283"/>
    </w:pPr>
  </w:style>
  <w:style w:type="character" w:customStyle="1" w:styleId="af7">
    <w:name w:val="Основной текст с отступом Знак"/>
    <w:link w:val="af6"/>
    <w:rsid w:val="007C1740"/>
    <w:rPr>
      <w:rFonts w:ascii="Times New Roman" w:eastAsia="Times New Roman" w:hAnsi="Times New Roman"/>
      <w:sz w:val="24"/>
      <w:szCs w:val="24"/>
    </w:rPr>
  </w:style>
  <w:style w:type="paragraph" w:styleId="24">
    <w:name w:val="Body Text Indent 2"/>
    <w:basedOn w:val="a"/>
    <w:link w:val="25"/>
    <w:rsid w:val="007C1740"/>
    <w:pPr>
      <w:spacing w:after="120" w:line="480" w:lineRule="auto"/>
      <w:ind w:left="283"/>
    </w:pPr>
  </w:style>
  <w:style w:type="character" w:customStyle="1" w:styleId="25">
    <w:name w:val="Основной текст с отступом 2 Знак"/>
    <w:link w:val="24"/>
    <w:rsid w:val="007C1740"/>
    <w:rPr>
      <w:rFonts w:ascii="Times New Roman" w:eastAsia="Times New Roman" w:hAnsi="Times New Roman"/>
      <w:sz w:val="24"/>
      <w:szCs w:val="24"/>
    </w:rPr>
  </w:style>
  <w:style w:type="paragraph" w:styleId="af8">
    <w:name w:val="List Paragraph"/>
    <w:basedOn w:val="a"/>
    <w:uiPriority w:val="1"/>
    <w:qFormat/>
    <w:rsid w:val="00A77736"/>
    <w:pPr>
      <w:widowControl/>
      <w:suppressAutoHyphens w:val="0"/>
      <w:spacing w:after="160" w:line="259" w:lineRule="auto"/>
      <w:ind w:left="720"/>
      <w:contextualSpacing/>
    </w:pPr>
    <w:rPr>
      <w:rFonts w:ascii="Calibri" w:eastAsia="Calibri" w:hAnsi="Calibri"/>
      <w:sz w:val="22"/>
      <w:szCs w:val="22"/>
      <w:lang w:val="uk-UA" w:eastAsia="en-US"/>
    </w:rPr>
  </w:style>
  <w:style w:type="character" w:styleId="af9">
    <w:name w:val="Strong"/>
    <w:qFormat/>
    <w:locked/>
    <w:rsid w:val="00A820B0"/>
    <w:rPr>
      <w:b/>
      <w:bCs/>
    </w:rPr>
  </w:style>
  <w:style w:type="character" w:customStyle="1" w:styleId="40">
    <w:name w:val="Заголовок 4 Знак"/>
    <w:basedOn w:val="a1"/>
    <w:link w:val="4"/>
    <w:semiHidden/>
    <w:rsid w:val="00A1036C"/>
    <w:rPr>
      <w:rFonts w:asciiTheme="majorHAnsi" w:eastAsiaTheme="majorEastAsia" w:hAnsiTheme="majorHAnsi" w:cstheme="majorBidi"/>
      <w:i/>
      <w:iCs/>
      <w:color w:val="365F91" w:themeColor="accent1" w:themeShade="BF"/>
      <w:sz w:val="24"/>
      <w:szCs w:val="24"/>
    </w:rPr>
  </w:style>
  <w:style w:type="character" w:customStyle="1" w:styleId="hps">
    <w:name w:val="hps"/>
    <w:uiPriority w:val="99"/>
    <w:rsid w:val="00A1036C"/>
  </w:style>
  <w:style w:type="character" w:customStyle="1" w:styleId="11pt">
    <w:name w:val="Колонтитул + 11 pt"/>
    <w:aliases w:val="Не полужирный3"/>
    <w:rsid w:val="001B2214"/>
    <w:rPr>
      <w:rFonts w:ascii="Times New Roman" w:hAnsi="Times New Roman" w:cs="Times New Roman"/>
      <w:b/>
      <w:bCs/>
      <w:color w:val="000000"/>
      <w:spacing w:val="0"/>
      <w:w w:val="100"/>
      <w:position w:val="0"/>
      <w:sz w:val="22"/>
      <w:szCs w:val="22"/>
      <w:u w:val="none"/>
      <w:lang w:val="uk-UA" w:eastAsia="uk-UA"/>
    </w:rPr>
  </w:style>
  <w:style w:type="paragraph" w:customStyle="1" w:styleId="ABC-paragrahinNotes">
    <w:name w:val="ABC - paragrah in Notes"/>
    <w:rsid w:val="00446E71"/>
    <w:pPr>
      <w:spacing w:after="240"/>
      <w:jc w:val="both"/>
    </w:pPr>
    <w:rPr>
      <w:rFonts w:ascii="Arial" w:eastAsia="Times New Roman" w:hAnsi="Arial"/>
      <w:lang w:val="en-GB"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43027611">
      <w:bodyDiv w:val="1"/>
      <w:marLeft w:val="0"/>
      <w:marRight w:val="0"/>
      <w:marTop w:val="0"/>
      <w:marBottom w:val="0"/>
      <w:divBdr>
        <w:top w:val="none" w:sz="0" w:space="0" w:color="auto"/>
        <w:left w:val="none" w:sz="0" w:space="0" w:color="auto"/>
        <w:bottom w:val="none" w:sz="0" w:space="0" w:color="auto"/>
        <w:right w:val="none" w:sz="0" w:space="0" w:color="auto"/>
      </w:divBdr>
    </w:div>
    <w:div w:id="348874804">
      <w:bodyDiv w:val="1"/>
      <w:marLeft w:val="0"/>
      <w:marRight w:val="0"/>
      <w:marTop w:val="0"/>
      <w:marBottom w:val="0"/>
      <w:divBdr>
        <w:top w:val="none" w:sz="0" w:space="0" w:color="auto"/>
        <w:left w:val="none" w:sz="0" w:space="0" w:color="auto"/>
        <w:bottom w:val="none" w:sz="0" w:space="0" w:color="auto"/>
        <w:right w:val="none" w:sz="0" w:space="0" w:color="auto"/>
      </w:divBdr>
    </w:div>
    <w:div w:id="362636176">
      <w:bodyDiv w:val="1"/>
      <w:marLeft w:val="0"/>
      <w:marRight w:val="0"/>
      <w:marTop w:val="0"/>
      <w:marBottom w:val="0"/>
      <w:divBdr>
        <w:top w:val="none" w:sz="0" w:space="0" w:color="auto"/>
        <w:left w:val="none" w:sz="0" w:space="0" w:color="auto"/>
        <w:bottom w:val="none" w:sz="0" w:space="0" w:color="auto"/>
        <w:right w:val="none" w:sz="0" w:space="0" w:color="auto"/>
      </w:divBdr>
    </w:div>
    <w:div w:id="1002003661">
      <w:bodyDiv w:val="1"/>
      <w:marLeft w:val="0"/>
      <w:marRight w:val="0"/>
      <w:marTop w:val="0"/>
      <w:marBottom w:val="0"/>
      <w:divBdr>
        <w:top w:val="none" w:sz="0" w:space="0" w:color="auto"/>
        <w:left w:val="none" w:sz="0" w:space="0" w:color="auto"/>
        <w:bottom w:val="none" w:sz="0" w:space="0" w:color="auto"/>
        <w:right w:val="none" w:sz="0" w:space="0" w:color="auto"/>
      </w:divBdr>
    </w:div>
    <w:div w:id="1068188125">
      <w:bodyDiv w:val="1"/>
      <w:marLeft w:val="0"/>
      <w:marRight w:val="0"/>
      <w:marTop w:val="0"/>
      <w:marBottom w:val="0"/>
      <w:divBdr>
        <w:top w:val="none" w:sz="0" w:space="0" w:color="auto"/>
        <w:left w:val="none" w:sz="0" w:space="0" w:color="auto"/>
        <w:bottom w:val="none" w:sz="0" w:space="0" w:color="auto"/>
        <w:right w:val="none" w:sz="0" w:space="0" w:color="auto"/>
      </w:divBdr>
    </w:div>
    <w:div w:id="1148398616">
      <w:bodyDiv w:val="1"/>
      <w:marLeft w:val="0"/>
      <w:marRight w:val="0"/>
      <w:marTop w:val="0"/>
      <w:marBottom w:val="0"/>
      <w:divBdr>
        <w:top w:val="none" w:sz="0" w:space="0" w:color="auto"/>
        <w:left w:val="none" w:sz="0" w:space="0" w:color="auto"/>
        <w:bottom w:val="none" w:sz="0" w:space="0" w:color="auto"/>
        <w:right w:val="none" w:sz="0" w:space="0" w:color="auto"/>
      </w:divBdr>
    </w:div>
    <w:div w:id="1509102153">
      <w:bodyDiv w:val="1"/>
      <w:marLeft w:val="0"/>
      <w:marRight w:val="0"/>
      <w:marTop w:val="0"/>
      <w:marBottom w:val="0"/>
      <w:divBdr>
        <w:top w:val="none" w:sz="0" w:space="0" w:color="auto"/>
        <w:left w:val="none" w:sz="0" w:space="0" w:color="auto"/>
        <w:bottom w:val="none" w:sz="0" w:space="0" w:color="auto"/>
        <w:right w:val="none" w:sz="0" w:space="0" w:color="auto"/>
      </w:divBdr>
    </w:div>
    <w:div w:id="1607807489">
      <w:bodyDiv w:val="1"/>
      <w:marLeft w:val="0"/>
      <w:marRight w:val="0"/>
      <w:marTop w:val="0"/>
      <w:marBottom w:val="0"/>
      <w:divBdr>
        <w:top w:val="none" w:sz="0" w:space="0" w:color="auto"/>
        <w:left w:val="none" w:sz="0" w:space="0" w:color="auto"/>
        <w:bottom w:val="none" w:sz="0" w:space="0" w:color="auto"/>
        <w:right w:val="none" w:sz="0" w:space="0" w:color="auto"/>
      </w:divBdr>
    </w:div>
    <w:div w:id="1809467479">
      <w:bodyDiv w:val="1"/>
      <w:marLeft w:val="0"/>
      <w:marRight w:val="0"/>
      <w:marTop w:val="0"/>
      <w:marBottom w:val="0"/>
      <w:divBdr>
        <w:top w:val="none" w:sz="0" w:space="0" w:color="auto"/>
        <w:left w:val="none" w:sz="0" w:space="0" w:color="auto"/>
        <w:bottom w:val="none" w:sz="0" w:space="0" w:color="auto"/>
        <w:right w:val="none" w:sz="0" w:space="0" w:color="auto"/>
      </w:divBdr>
    </w:div>
    <w:div w:id="20190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4081-F075-4CF2-B2A1-063F99FC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15</Pages>
  <Words>6724</Words>
  <Characters>38331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РОЗКРИТТЯ ІНФОРМАЦІЇ</vt:lpstr>
    </vt:vector>
  </TitlesOfParts>
  <Company>Microsoft</Company>
  <LinksUpToDate>false</LinksUpToDate>
  <CharactersWithSpaces>44966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РОЗКРИТТЯ ІНФОРМАЦІЇ</dc:title>
  <dc:creator>Admin</dc:creator>
  <cp:lastModifiedBy>Inna</cp:lastModifiedBy>
  <cp:revision>72</cp:revision>
  <cp:lastPrinted>2019-04-11T06:53:00Z</cp:lastPrinted>
  <dcterms:created xsi:type="dcterms:W3CDTF">2020-04-17T12:14:00Z</dcterms:created>
  <dcterms:modified xsi:type="dcterms:W3CDTF">2021-06-04T09:54:00Z</dcterms:modified>
</cp:coreProperties>
</file>